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8AF9" w14:textId="77777777" w:rsidR="00BA4072" w:rsidRDefault="00BA4072" w:rsidP="00E2023B">
      <w:pPr>
        <w:rPr>
          <w:b/>
          <w:bCs/>
        </w:rPr>
      </w:pPr>
    </w:p>
    <w:p w14:paraId="339A770C" w14:textId="77777777" w:rsidR="00BA4072" w:rsidRDefault="00BA4072" w:rsidP="00E2023B">
      <w:pPr>
        <w:rPr>
          <w:b/>
          <w:bCs/>
        </w:rPr>
      </w:pPr>
    </w:p>
    <w:p w14:paraId="204F88F0" w14:textId="77777777" w:rsidR="006E58EC" w:rsidRPr="006E58EC" w:rsidRDefault="006E58EC" w:rsidP="006E58EC">
      <w:pPr>
        <w:rPr>
          <w:b/>
          <w:bCs/>
        </w:rPr>
      </w:pPr>
      <w:r w:rsidRPr="006E58EC">
        <w:rPr>
          <w:b/>
          <w:bCs/>
        </w:rPr>
        <w:t xml:space="preserve">Approche éthique et indépendante de l’utilisation de la technologie de l’IAASB – Le </w:t>
      </w:r>
      <w:hyperlink r:id="rId5" w:history="1">
        <w:r w:rsidRPr="006E58EC">
          <w:rPr>
            <w:rStyle w:val="Lienhypertexte"/>
            <w:b/>
            <w:bCs/>
          </w:rPr>
          <w:t>Conseil international des normes d’audit et d’assurance</w:t>
        </w:r>
      </w:hyperlink>
    </w:p>
    <w:p w14:paraId="33EC9CC9" w14:textId="3F9E366B" w:rsidR="00E2023B" w:rsidRDefault="00E2023B" w:rsidP="00E2023B">
      <w:pPr>
        <w:rPr>
          <w:b/>
          <w:bCs/>
        </w:rPr>
      </w:pPr>
      <w:r w:rsidRPr="00E2023B">
        <w:rPr>
          <w:b/>
          <w:bCs/>
        </w:rPr>
        <w:t xml:space="preserve">Aperçu de l’IESBA </w:t>
      </w:r>
      <w:r>
        <w:rPr>
          <w:b/>
          <w:bCs/>
        </w:rPr>
        <w:t xml:space="preserve"> </w:t>
      </w:r>
      <w:hyperlink r:id="rId6" w:history="1">
        <w:r w:rsidRPr="00E2023B">
          <w:rPr>
            <w:rStyle w:val="Lienhypertexte"/>
            <w:b/>
            <w:bCs/>
          </w:rPr>
          <w:t>Conseil international des normes d’audit et d’assurance</w:t>
        </w:r>
      </w:hyperlink>
      <w:r w:rsidRPr="00E2023B">
        <w:rPr>
          <w:b/>
          <w:bCs/>
        </w:rPr>
        <w:t xml:space="preserve"> (IAASB) </w:t>
      </w:r>
    </w:p>
    <w:p w14:paraId="522312CA" w14:textId="2B4D6FB5" w:rsidR="00E2023B" w:rsidRPr="00E2023B" w:rsidRDefault="00E2023B" w:rsidP="00E2023B">
      <w:pPr>
        <w:jc w:val="center"/>
        <w:rPr>
          <w:b/>
          <w:bCs/>
          <w:sz w:val="28"/>
          <w:szCs w:val="28"/>
        </w:rPr>
      </w:pPr>
      <w:r w:rsidRPr="00E2023B">
        <w:rPr>
          <w:b/>
          <w:bCs/>
          <w:sz w:val="28"/>
          <w:szCs w:val="28"/>
        </w:rPr>
        <w:t xml:space="preserve">Approche éthique et indépendante de l’utilisation de la technologie </w:t>
      </w:r>
    </w:p>
    <w:p w14:paraId="3309C067" w14:textId="77777777" w:rsidR="00E2023B" w:rsidRPr="00E2023B" w:rsidRDefault="00E2023B" w:rsidP="00E2023B">
      <w:r w:rsidRPr="00E2023B">
        <w:t>Les instantanés de l’IESBA offrent des aperçus courts et non techniques des projets et initiatives de l’IESBA. Ils expliquent le but, la direction et l’orientation actuelle de façon claire et accessible, accompagnés de matériaux techniques plus détaillés.</w:t>
      </w:r>
    </w:p>
    <w:p w14:paraId="1826F9C0" w14:textId="77777777" w:rsidR="00E2023B" w:rsidRPr="00E2023B" w:rsidRDefault="00E2023B" w:rsidP="00E2023B">
      <w:r w:rsidRPr="00E2023B">
        <w:t>Ce Snapshot se concentre sur la manière dont l’IESBA soutient la profession durant cette période de changements technologiques rapides.</w:t>
      </w:r>
    </w:p>
    <w:p w14:paraId="2A47F56C" w14:textId="77777777" w:rsidR="00E2023B" w:rsidRPr="00E2023B" w:rsidRDefault="00E2023B" w:rsidP="00E2023B">
      <w:r w:rsidRPr="00E2023B">
        <w:rPr>
          <w:b/>
          <w:bCs/>
        </w:rPr>
        <w:t>Q1. Pourquoi l’éthique et l’indépendance sont-elles importantes pour la technologie ?</w:t>
      </w:r>
    </w:p>
    <w:p w14:paraId="259EEC54" w14:textId="77777777" w:rsidR="00E2023B" w:rsidRPr="00E2023B" w:rsidRDefault="00E2023B" w:rsidP="00E2023B">
      <w:r w:rsidRPr="00E2023B">
        <w:t>La technologie transforme la manière dont les comptables professionnels travaillent et la manière dont les services professionnels sont fournis. L’intelligence artificielle (IA), les systèmes d’IA agentique, les actifs numériques et les plateformes basées sur le cloud sont de plus en plus intégrés dans le fonctionnement des entreprises, la prise des décisions et la manière dont la confiance est instaurée auprès des clients, des investisseurs et du public.</w:t>
      </w:r>
    </w:p>
    <w:p w14:paraId="5CDD1FEA" w14:textId="77777777" w:rsidR="00E2023B" w:rsidRPr="00E2023B" w:rsidRDefault="00E2023B" w:rsidP="00E2023B">
      <w:r w:rsidRPr="00E2023B">
        <w:t>Cette transformation crée d’importantes opportunités mais introduit également de nouveaux risques éthiques et d’indépendance existants ou amplifie. La technologie peut remettre en question le jugement professionnel, introduire des biais, obscurcir la responsabilité et créer des menaces à l’indépendance qui n’existaient pas dans les modèles traditionnels de prestation de services. La question pour la profession n’est plus d’utiliser ces outils, mais de savoir comment le faire de manière responsable — ancrée dans l’éthique et l’indépendance. La technologie fait partie des principales priorités stratégiques de l’IESBA précisément parce qu’elle traverse tous les aspects de la conduite professionnelle, de la compétence professionnelle et du respect dû à l’objectivité, à la confidentialité et à l’indépendance.</w:t>
      </w:r>
    </w:p>
    <w:p w14:paraId="2A1E4633" w14:textId="77777777" w:rsidR="00E2023B" w:rsidRPr="00E2023B" w:rsidRDefault="00E2023B" w:rsidP="00E2023B">
      <w:r w:rsidRPr="00E2023B">
        <w:rPr>
          <w:b/>
          <w:bCs/>
        </w:rPr>
        <w:t>Q2. Le Code IESBA existant s’applique-t-il à l’utilisation de la technologie ?</w:t>
      </w:r>
    </w:p>
    <w:p w14:paraId="6677E579" w14:textId="77777777" w:rsidR="00E2023B" w:rsidRPr="00E2023B" w:rsidRDefault="00E2023B" w:rsidP="00E2023B">
      <w:r w:rsidRPr="00E2023B">
        <w:t>Oui. Le </w:t>
      </w:r>
      <w:hyperlink r:id="rId7" w:history="1">
        <w:r w:rsidRPr="00E2023B">
          <w:rPr>
            <w:rStyle w:val="Lienhypertexte"/>
            <w:i/>
            <w:iCs/>
          </w:rPr>
          <w:t>Code international de déontologie pour les experts-comptables professionnels (y compris les Normes internationales d’indépendance)</w:t>
        </w:r>
      </w:hyperlink>
      <w:r w:rsidRPr="00E2023B">
        <w:t> (le Code IESBA) est fondé sur des principes, et ses cinq principes fondamentaux — intégrité, objectivité, compétence professionnelle et diligence raisonnable, confidentialité et comportement professionnel — s’appliquent quels que soient les outils ou technologies utilisés.</w:t>
      </w:r>
    </w:p>
    <w:p w14:paraId="20AB2FB8" w14:textId="77777777" w:rsidR="00E2023B" w:rsidRPr="00E2023B" w:rsidRDefault="00E2023B" w:rsidP="00E2023B">
      <w:r w:rsidRPr="00E2023B">
        <w:t>Le cadre conceptuel du Code offre une approche structurée pour identifier, évaluer et traiter les menaces éthiques dans tous les contextes, y compris ceux liés à la technologie. Lorsqu’ils appliquent le cadre conceptuel, les comptables professionnels doivent avoir un esprit curieux, faire preuve de jugement professionnel et utiliser le test raisonnable et informé d’un tiers pour identifier les menaces, les évaluer et les traiter en les éliminant ou les réduisant à un niveau acceptable, ou, si possible, en refusant l’engagement.</w:t>
      </w:r>
    </w:p>
    <w:p w14:paraId="62527ABC" w14:textId="77777777" w:rsidR="00E2023B" w:rsidRPr="00E2023B" w:rsidRDefault="00E2023B" w:rsidP="00E2023B">
      <w:r w:rsidRPr="00E2023B">
        <w:lastRenderedPageBreak/>
        <w:t>La technologie ne brise pas le cadre éthique. Cela pourrait le remettre en question. Lorsque des qualités éthiques telles que le jugement professionnel, la responsabilité et la culture sont faibles, la technologie amplifie les risques et peut en créer de nouveaux. Là où ces qualités sont fortes, la technologie crée la possibilité de renforcer la confiance. L’architecture fondée sur des principes du Code est conçue pour résister au rythme des changements technologiques et guider la conduite par une numérisation rapide.</w:t>
      </w:r>
    </w:p>
    <w:p w14:paraId="113B76C9" w14:textId="77777777" w:rsidR="00E2023B" w:rsidRPr="00E2023B" w:rsidRDefault="00E2023B" w:rsidP="00E2023B">
      <w:r w:rsidRPr="00E2023B">
        <w:rPr>
          <w:b/>
          <w:bCs/>
        </w:rPr>
        <w:t>Q3. Qu’a fait l’IESBA pour lutter contre les risques éthiques liés à la technologie ?</w:t>
      </w:r>
    </w:p>
    <w:p w14:paraId="3148B37E" w14:textId="77777777" w:rsidR="00E2023B" w:rsidRPr="00E2023B" w:rsidRDefault="00E2023B" w:rsidP="00E2023B">
      <w:r w:rsidRPr="00E2023B">
        <w:t>L’IESBA a adopté une approche structurée en trois piliers pour aborder les implications éthiques de la technologie :</w:t>
      </w:r>
    </w:p>
    <w:p w14:paraId="4D1AC4A3" w14:textId="77777777" w:rsidR="00E2023B" w:rsidRPr="00E2023B" w:rsidRDefault="00E2023B" w:rsidP="00E2023B">
      <w:pPr>
        <w:numPr>
          <w:ilvl w:val="0"/>
          <w:numId w:val="1"/>
        </w:numPr>
      </w:pPr>
      <w:r w:rsidRPr="00E2023B">
        <w:rPr>
          <w:b/>
          <w:bCs/>
        </w:rPr>
        <w:t>Garder le Code adapté à son but.</w:t>
      </w:r>
      <w:r w:rsidRPr="00E2023B">
        <w:t> En 2023, l’IESBA a approuvé des révisions ciblées et fondées sur des principes du Code afin de préciser que la technologie est une source de risque éthique et de soutenir les comptables professionnels dans la gestion de ce risque. Ces révisions sont entrées en vigueur en décembre 2024.</w:t>
      </w:r>
    </w:p>
    <w:p w14:paraId="16F66F38" w14:textId="77777777" w:rsidR="00E2023B" w:rsidRPr="00E2023B" w:rsidRDefault="00E2023B" w:rsidP="00E2023B">
      <w:pPr>
        <w:numPr>
          <w:ilvl w:val="0"/>
          <w:numId w:val="1"/>
        </w:numPr>
      </w:pPr>
      <w:r w:rsidRPr="00E2023B">
        <w:rPr>
          <w:b/>
          <w:bCs/>
        </w:rPr>
        <w:t>Balayage continu de l’horizon. </w:t>
      </w:r>
      <w:r w:rsidRPr="00E2023B">
        <w:t>L’IESBA a mis en place un groupe d’experts technologiques permanent composé de huit praticiens pour suivre en temps réel les développements émergents, notamment l’IA et l’IA agentique, les actifs numériques, la cybersécurité et l’informatique quantique.</w:t>
      </w:r>
    </w:p>
    <w:p w14:paraId="07156E32" w14:textId="77777777" w:rsidR="00E2023B" w:rsidRPr="00E2023B" w:rsidRDefault="00E2023B" w:rsidP="00E2023B">
      <w:pPr>
        <w:numPr>
          <w:ilvl w:val="0"/>
          <w:numId w:val="1"/>
        </w:numPr>
      </w:pPr>
      <w:r w:rsidRPr="00E2023B">
        <w:rPr>
          <w:b/>
          <w:bCs/>
        </w:rPr>
        <w:t>Soutenir la profession. </w:t>
      </w:r>
      <w:r w:rsidRPr="00E2023B">
        <w:t>L’IESBA développe des supports d’orientation pratiques et non faisant autorité, et mène des actions ciblées de sensibilisation et de communication pour aider les professionnels à comprendre et à appliquer le Code dans des contextes liés à la </w:t>
      </w:r>
      <w:r w:rsidRPr="00E2023B">
        <w:rPr>
          <w:b/>
          <w:bCs/>
        </w:rPr>
        <w:t>technologie.</w:t>
      </w:r>
    </w:p>
    <w:p w14:paraId="5C312624" w14:textId="77777777" w:rsidR="00E2023B" w:rsidRPr="00E2023B" w:rsidRDefault="00E2023B" w:rsidP="00E2023B">
      <w:r w:rsidRPr="00E2023B">
        <w:rPr>
          <w:b/>
          <w:bCs/>
        </w:rPr>
        <w:t>Q4. Quelles ont été les révisions technologiques du Code en 2023 ?</w:t>
      </w:r>
    </w:p>
    <w:p w14:paraId="649112D6" w14:textId="77777777" w:rsidR="00E2023B" w:rsidRPr="00E2023B" w:rsidRDefault="00E2023B" w:rsidP="00E2023B">
      <w:r w:rsidRPr="00E2023B">
        <w:t>Approuvées en avril 2023 et en vigueur à partir de décembre 2024, les révisions technologiques du Code affinent et renforcent le Code pour qu’il soit adapté à l’ère de la numérisation rapide. Ces révisions s’appuient sur des révisions antérieures concernant le rôle et l’état d’esprit d’un comptable professionnel et la fourniture de services non liés à l’assurance à un client audit, qui incluaient déjà des dispositions liées à la technologie. Les révisions liées à la technologie sont fondées sur des principes et indépendantes de la technologie, conçues pour s’appliquer à toutes les technologies et résister au rythme continu des changements. Les principaux changements ont eu un impact sur :</w:t>
      </w:r>
    </w:p>
    <w:p w14:paraId="2C8C7AD4" w14:textId="77777777" w:rsidR="00E2023B" w:rsidRPr="00E2023B" w:rsidRDefault="00E2023B" w:rsidP="00E2023B">
      <w:pPr>
        <w:numPr>
          <w:ilvl w:val="0"/>
          <w:numId w:val="2"/>
        </w:numPr>
      </w:pPr>
      <w:r w:rsidRPr="00E2023B">
        <w:rPr>
          <w:b/>
          <w:bCs/>
        </w:rPr>
        <w:t>Compétence professionnelle et diligence raisonnable.</w:t>
      </w:r>
      <w:r w:rsidRPr="00E2023B">
        <w:t> Les experts-comptables professionnels doivent comprendre, être capables d’expliquer et d’évaluer la technologie qu’ils utilisent, y compris suivre les évolutions technologiques pertinentes à leurs activités professionnelles. Se fier à des sorties opaques ou inexpliquées n’est pas acceptable.</w:t>
      </w:r>
    </w:p>
    <w:p w14:paraId="2450DDC0" w14:textId="77777777" w:rsidR="00E2023B" w:rsidRPr="00E2023B" w:rsidRDefault="00E2023B" w:rsidP="00E2023B">
      <w:pPr>
        <w:numPr>
          <w:ilvl w:val="0"/>
          <w:numId w:val="2"/>
        </w:numPr>
        <w:rPr>
          <w:lang w:val="en-US"/>
        </w:rPr>
      </w:pPr>
      <w:r w:rsidRPr="00E2023B">
        <w:rPr>
          <w:b/>
          <w:bCs/>
          <w:lang w:val="en-US"/>
        </w:rPr>
        <w:t>Inquiring mind.</w:t>
      </w:r>
      <w:r w:rsidRPr="00E2023B">
        <w:rPr>
          <w:lang w:val="en-US"/>
        </w:rPr>
        <w:t> In relation to Role and Mindset, having an inquiring mind became a mandatory requirement when applying the conceptual framework. It is a prerequisite to understanding the source and relevance of inputs, and the sufficiency of technology outputs for the intended purpose. It applies to all professional accountants regardless of the activity undertaken.</w:t>
      </w:r>
    </w:p>
    <w:p w14:paraId="4D57D435" w14:textId="77777777" w:rsidR="00E2023B" w:rsidRPr="00E2023B" w:rsidRDefault="00E2023B" w:rsidP="00E2023B">
      <w:pPr>
        <w:numPr>
          <w:ilvl w:val="0"/>
          <w:numId w:val="2"/>
        </w:numPr>
        <w:rPr>
          <w:lang w:val="en-US"/>
        </w:rPr>
      </w:pPr>
      <w:r w:rsidRPr="00E2023B">
        <w:rPr>
          <w:b/>
          <w:bCs/>
          <w:lang w:val="en-US"/>
        </w:rPr>
        <w:lastRenderedPageBreak/>
        <w:t>Use of technology outputs.</w:t>
      </w:r>
      <w:r w:rsidRPr="00E2023B">
        <w:rPr>
          <w:lang w:val="en-US"/>
        </w:rPr>
        <w:t> New explicit requirements apply whenever a professional accountant uses technology outputs — whether internally developed, purchased, or third-party. Accountants must assess fitness for purpose, understand limitations and assumptions, evaluate data quality and potential bias, and determine the appropriate extent of reliance.</w:t>
      </w:r>
    </w:p>
    <w:p w14:paraId="3D74DDB4" w14:textId="77777777" w:rsidR="00E2023B" w:rsidRPr="00E2023B" w:rsidRDefault="00E2023B" w:rsidP="00E2023B">
      <w:pPr>
        <w:numPr>
          <w:ilvl w:val="0"/>
          <w:numId w:val="2"/>
        </w:numPr>
        <w:rPr>
          <w:lang w:val="en-US"/>
        </w:rPr>
      </w:pPr>
      <w:r w:rsidRPr="00E2023B">
        <w:rPr>
          <w:b/>
          <w:bCs/>
          <w:lang w:val="en-US"/>
        </w:rPr>
        <w:t>Automation bias.</w:t>
      </w:r>
      <w:r w:rsidRPr="00E2023B">
        <w:rPr>
          <w:lang w:val="en-US"/>
        </w:rPr>
        <w:t> In the context of Role and Mindset, automation bias — the tendency to favor outputs generated by technology even when contradictory information raises questions about their reliability — is now explicitly named in the Code as a bias that can impair objectivity and the proper exercise of professional judgment. The Code requires accountants to be alert to this and other biases, and professional responsibility cannot be delegated to a machine.</w:t>
      </w:r>
    </w:p>
    <w:p w14:paraId="476A242C" w14:textId="77777777" w:rsidR="00E2023B" w:rsidRPr="00E2023B" w:rsidRDefault="00E2023B" w:rsidP="00E2023B">
      <w:pPr>
        <w:numPr>
          <w:ilvl w:val="0"/>
          <w:numId w:val="2"/>
        </w:numPr>
        <w:rPr>
          <w:lang w:val="en-US"/>
        </w:rPr>
      </w:pPr>
      <w:r w:rsidRPr="00E2023B">
        <w:rPr>
          <w:b/>
          <w:bCs/>
          <w:lang w:val="en-US"/>
        </w:rPr>
        <w:t>Complex circumstances.</w:t>
      </w:r>
      <w:r w:rsidRPr="00E2023B">
        <w:rPr>
          <w:lang w:val="en-US"/>
        </w:rPr>
        <w:t> The Code now includes guidance on managing complexity — defined as arising from the compounding effect of interactions between uncertain elements and interdependent variables and assumptions. Rapid digitalization has made such circumstances more prevalent, and professional accountants must communicate inherent uncertainties to their organization, firm or users of their professional activities, and remain alert to changes in facts and circumstances.</w:t>
      </w:r>
    </w:p>
    <w:p w14:paraId="4DFA8765" w14:textId="77777777" w:rsidR="00E2023B" w:rsidRPr="00E2023B" w:rsidRDefault="00E2023B" w:rsidP="00E2023B">
      <w:pPr>
        <w:numPr>
          <w:ilvl w:val="0"/>
          <w:numId w:val="2"/>
        </w:numPr>
        <w:rPr>
          <w:lang w:val="en-US"/>
        </w:rPr>
      </w:pPr>
      <w:r w:rsidRPr="00E2023B">
        <w:rPr>
          <w:b/>
          <w:bCs/>
          <w:lang w:val="en-US"/>
        </w:rPr>
        <w:t>Confidentiality.</w:t>
      </w:r>
      <w:r w:rsidRPr="00E2023B">
        <w:rPr>
          <w:lang w:val="en-US"/>
        </w:rPr>
        <w:t> Confidentiality obligations have been extended to cover the full data lifecycle: collection, use, transfer, storage, dissemination, and lawful destruction. The use of client data for purposes such as AI model training requires proper authorization, with clear boundaries around consent.</w:t>
      </w:r>
    </w:p>
    <w:p w14:paraId="1F291E9C" w14:textId="77777777" w:rsidR="00E2023B" w:rsidRPr="00E2023B" w:rsidRDefault="00E2023B" w:rsidP="00E2023B">
      <w:pPr>
        <w:numPr>
          <w:ilvl w:val="0"/>
          <w:numId w:val="2"/>
        </w:numPr>
        <w:rPr>
          <w:lang w:val="en-US"/>
        </w:rPr>
      </w:pPr>
      <w:r w:rsidRPr="00E2023B">
        <w:rPr>
          <w:b/>
          <w:bCs/>
          <w:lang w:val="en-US"/>
        </w:rPr>
        <w:t>Independence.</w:t>
      </w:r>
      <w:r w:rsidRPr="00E2023B">
        <w:rPr>
          <w:lang w:val="en-US"/>
        </w:rPr>
        <w:t> The independence standards have been reinforced to address risks specific to technology-enabled services: self-review threats, the risk of assuming management responsibility, and commercial dependencies that can arise when technology is used to deliver professional services to audit or assurance clients.</w:t>
      </w:r>
    </w:p>
    <w:p w14:paraId="07881640" w14:textId="77777777" w:rsidR="00E2023B" w:rsidRPr="00E2023B" w:rsidRDefault="00E2023B" w:rsidP="00E2023B">
      <w:pPr>
        <w:rPr>
          <w:lang w:val="en-US"/>
        </w:rPr>
      </w:pPr>
      <w:r w:rsidRPr="00E2023B">
        <w:rPr>
          <w:b/>
          <w:bCs/>
          <w:lang w:val="en-US"/>
        </w:rPr>
        <w:t>Q5. Why is IESBA not working on further changes to the Code?</w:t>
      </w:r>
    </w:p>
    <w:p w14:paraId="0ACA44FC" w14:textId="77777777" w:rsidR="00E2023B" w:rsidRPr="00E2023B" w:rsidRDefault="00E2023B" w:rsidP="00E2023B">
      <w:r w:rsidRPr="00E2023B">
        <w:t>Le paysage technologique évolue rapidement et continuellement, et IESBA a délibérément choisi de ne pas poursuivre de nouvelles révisions du Code pour l’instant. La force du Code IESBA réside dans son architecture fondée sur des principes : des principes qui régissent la conduite professionnelle plutôt que de prescrire des règles pour des circonstances spécifiques sont intrinsèquement plus durables et adaptables. Si des modifications sont apportées pour répondre à chaque évolution des outils technologiques, cela risquerait de fragmenter le Code, d’appliquer et de devenir rapidement obsolète.</w:t>
      </w:r>
    </w:p>
    <w:p w14:paraId="0CC51FB6" w14:textId="77777777" w:rsidR="00E2023B" w:rsidRPr="00E2023B" w:rsidRDefault="00E2023B" w:rsidP="00E2023B">
      <w:r w:rsidRPr="00E2023B">
        <w:t>Les retours de toute la profession confirment que le Code existant, y compris les révisions de 2023, répond déjà à la plupart des défis éthiques liés à l’utilisation de la technologie aujourd’hui.</w:t>
      </w:r>
    </w:p>
    <w:p w14:paraId="015E4A62" w14:textId="77777777" w:rsidR="00E2023B" w:rsidRPr="00E2023B" w:rsidRDefault="00E2023B" w:rsidP="00E2023B">
      <w:r w:rsidRPr="00E2023B">
        <w:t>Plutôt que d’accélérer le rythme de changement que la profession gère déjà, la priorité est de laisser le temps d’adoption et de mise en œuvre des révisions de 2023, soutenues par des recommandations pratiques alors que la technologie continue d’être intégrée avec succès dans les activités professionnelles.</w:t>
      </w:r>
    </w:p>
    <w:p w14:paraId="19584D19" w14:textId="77777777" w:rsidR="00E2023B" w:rsidRPr="00E2023B" w:rsidRDefault="00E2023B" w:rsidP="00E2023B">
      <w:r w:rsidRPr="00E2023B">
        <w:rPr>
          <w:b/>
          <w:bCs/>
        </w:rPr>
        <w:lastRenderedPageBreak/>
        <w:t>Q6. Quelles orientations IESBA développe-t-elle, et quand ?</w:t>
      </w:r>
    </w:p>
    <w:p w14:paraId="6B927419" w14:textId="77777777" w:rsidR="00E2023B" w:rsidRPr="00E2023B" w:rsidRDefault="00E2023B" w:rsidP="00E2023B">
      <w:r w:rsidRPr="00E2023B">
        <w:t>L’IESBA développe des orientations pratiques pour soutenir la profession dans l’application du Code dans des contextes liés à la technologie — en avançant avec réflexion, sans ajouter au bruit du débat plus large sur la technologie et l’IA.</w:t>
      </w:r>
    </w:p>
    <w:p w14:paraId="6C7CDB61" w14:textId="77777777" w:rsidR="00E2023B" w:rsidRPr="00E2023B" w:rsidRDefault="00E2023B" w:rsidP="00E2023B">
      <w:r w:rsidRPr="00E2023B">
        <w:t>Deux documents d’orientation non autorisés (NAM) sont prévus :</w:t>
      </w:r>
    </w:p>
    <w:p w14:paraId="0CF8F6E0" w14:textId="77777777" w:rsidR="00E2023B" w:rsidRPr="00E2023B" w:rsidRDefault="00E2023B" w:rsidP="00E2023B">
      <w:pPr>
        <w:numPr>
          <w:ilvl w:val="0"/>
          <w:numId w:val="3"/>
        </w:numPr>
      </w:pPr>
      <w:r w:rsidRPr="00E2023B">
        <w:rPr>
          <w:b/>
          <w:bCs/>
        </w:rPr>
        <w:t>Un NAM technologique global (prévu au troisième trimestre 2026). </w:t>
      </w:r>
      <w:r w:rsidRPr="00E2023B">
        <w:t>Une publication de haut niveau, indépendante de la technologie, expliquant comment les caractéristiques communes des technologies émergentes mettent l’accent sur les principes fondamentaux du Code et comment le cadre conceptuel s’applique — conçue pour fournir un soutien durable au niveau des principes à travers l’ensemble des technologies.</w:t>
      </w:r>
    </w:p>
    <w:p w14:paraId="4623B2BC" w14:textId="77777777" w:rsidR="00E2023B" w:rsidRPr="00E2023B" w:rsidRDefault="00E2023B" w:rsidP="00E2023B">
      <w:pPr>
        <w:numPr>
          <w:ilvl w:val="0"/>
          <w:numId w:val="3"/>
        </w:numPr>
      </w:pPr>
      <w:r w:rsidRPr="00E2023B">
        <w:rPr>
          <w:b/>
          <w:bCs/>
        </w:rPr>
        <w:t>NAM spécifique à l’IA (prévu pour le quatrième trimestre 2026).</w:t>
      </w:r>
      <w:r w:rsidRPr="00E2023B">
        <w:t> Développée avec les contributions du groupe d’experts technologiques de l’IESBA, cette publication offrira un soutien pratique ciblé sur les défis éthiques les plus couramment associés à l’utilisation de l’IA par les experts-comptables professionnels.</w:t>
      </w:r>
    </w:p>
    <w:p w14:paraId="628CBB73" w14:textId="77777777" w:rsidR="00E2023B" w:rsidRPr="00E2023B" w:rsidRDefault="00E2023B" w:rsidP="00E2023B">
      <w:r w:rsidRPr="00E2023B">
        <w:t>De plus, l’IESBA a déjà publié des documents pour soutenir les praticiens :</w:t>
      </w:r>
    </w:p>
    <w:p w14:paraId="4C000CDC" w14:textId="77777777" w:rsidR="00E2023B" w:rsidRPr="00E2023B" w:rsidRDefault="00E2023B" w:rsidP="00E2023B">
      <w:pPr>
        <w:numPr>
          <w:ilvl w:val="0"/>
          <w:numId w:val="4"/>
        </w:numPr>
      </w:pPr>
      <w:hyperlink r:id="rId8" w:history="1">
        <w:r w:rsidRPr="00E2023B">
          <w:rPr>
            <w:rStyle w:val="Lienhypertexte"/>
            <w:b/>
            <w:bCs/>
          </w:rPr>
          <w:t>Ethical Leadership in a Digital Era</w:t>
        </w:r>
      </w:hyperlink>
      <w:r w:rsidRPr="00E2023B">
        <w:t> — une publication conjointe avec l’Institut japonais des experts-comptables agréés (JICPA) (2022) qui explique l’application du Code aux situations liées à la technologie dans la pratique.</w:t>
      </w:r>
    </w:p>
    <w:p w14:paraId="38FA24D8" w14:textId="77777777" w:rsidR="00E2023B" w:rsidRPr="00E2023B" w:rsidRDefault="00E2023B" w:rsidP="00E2023B">
      <w:pPr>
        <w:numPr>
          <w:ilvl w:val="0"/>
          <w:numId w:val="4"/>
        </w:numPr>
      </w:pPr>
      <w:hyperlink r:id="rId9" w:history="1">
        <w:r w:rsidRPr="00E2023B">
          <w:rPr>
            <w:rStyle w:val="Lienhypertexte"/>
            <w:b/>
            <w:bCs/>
          </w:rPr>
          <w:t>Guides pratiques pour les auditeurs dans des scénarios liés à la technologie</w:t>
        </w:r>
      </w:hyperlink>
      <w:r w:rsidRPr="00E2023B">
        <w:t> — une publication conjointe avec le Conseil des professionnels de la comptabilité et des normes éthiques d’Australie (APESB) (2023) qui explique l’application du cadre conceptuel du Code aux scénarios d’indépendance liés à la technologie.</w:t>
      </w:r>
    </w:p>
    <w:p w14:paraId="6F6452E6" w14:textId="77777777" w:rsidR="00E2023B" w:rsidRPr="00E2023B" w:rsidRDefault="00E2023B" w:rsidP="00E2023B">
      <w:r w:rsidRPr="00E2023B">
        <w:rPr>
          <w:b/>
          <w:bCs/>
        </w:rPr>
        <w:t>Q7. Comment l’IESBA surveille-t-elle les développements des technologies émergentes ?</w:t>
      </w:r>
    </w:p>
    <w:p w14:paraId="76CD38FD" w14:textId="77777777" w:rsidR="00E2023B" w:rsidRPr="00E2023B" w:rsidRDefault="00E2023B" w:rsidP="00E2023B">
      <w:r w:rsidRPr="00E2023B">
        <w:t>Reconnaissant que les avancées technologiques se poursuivront à bon rythme, l’IESBA a mis en place un mécanisme permanent de surveillance via son </w:t>
      </w:r>
      <w:hyperlink r:id="rId10" w:history="1">
        <w:r w:rsidRPr="00E2023B">
          <w:rPr>
            <w:rStyle w:val="Lienhypertexte"/>
          </w:rPr>
          <w:t>groupe d’experts en technologie</w:t>
        </w:r>
      </w:hyperlink>
      <w:r w:rsidRPr="00E2023B">
        <w:t> : huit praticiens ayant une expérience pratique des technologies actuelles et émergentes, qui réalisent régulièrement des exercices de balayage de l’horizon.</w:t>
      </w:r>
    </w:p>
    <w:p w14:paraId="3A10306E" w14:textId="77777777" w:rsidR="00E2023B" w:rsidRPr="00E2023B" w:rsidRDefault="00E2023B" w:rsidP="00E2023B">
      <w:r w:rsidRPr="00E2023B">
        <w:t>Parmi les faits marquants récents de ce travail, on compte :</w:t>
      </w:r>
    </w:p>
    <w:p w14:paraId="1A1EC2CE" w14:textId="77777777" w:rsidR="00E2023B" w:rsidRPr="00E2023B" w:rsidRDefault="00E2023B" w:rsidP="00E2023B">
      <w:pPr>
        <w:numPr>
          <w:ilvl w:val="0"/>
          <w:numId w:val="5"/>
        </w:numPr>
      </w:pPr>
      <w:r w:rsidRPr="00E2023B">
        <w:t>IA et IA agente : Les organisations déploient de plus en plus l’IA dans tous les aspects de leurs opérations, mais les mécanismes de gouvernance et de supervision sont en retard par rapport à l’adoption. Les systèmes agentiques, capables d’exécution autonome et d’interactions agent à agent, soulèvent des préoccupations supplémentaires concernant les risques, notamment des questions cruciales sur la traçabilité, la supervision humaine et la responsabilité.</w:t>
      </w:r>
    </w:p>
    <w:p w14:paraId="29242052" w14:textId="77777777" w:rsidR="00E2023B" w:rsidRPr="00E2023B" w:rsidRDefault="00E2023B" w:rsidP="00E2023B">
      <w:pPr>
        <w:numPr>
          <w:ilvl w:val="0"/>
          <w:numId w:val="5"/>
        </w:numPr>
      </w:pPr>
      <w:r w:rsidRPr="00E2023B">
        <w:t>« IA fantôme » : les employés utilisant des outils d’IA de manière indépendante sans l’approbation de l’organisation représentent un risque croissant et sous-estimé dans toute la profession.</w:t>
      </w:r>
    </w:p>
    <w:p w14:paraId="69F8A834" w14:textId="77777777" w:rsidR="00E2023B" w:rsidRPr="00E2023B" w:rsidRDefault="00E2023B" w:rsidP="00E2023B">
      <w:pPr>
        <w:numPr>
          <w:ilvl w:val="0"/>
          <w:numId w:val="5"/>
        </w:numPr>
      </w:pPr>
      <w:r w:rsidRPr="00E2023B">
        <w:lastRenderedPageBreak/>
        <w:t>Les actifs numériques et les stablecoins, les menaces de cybersécurité assistées par l’IA et l’informatique quantique sont également surveillés comme domaines de nouvelle importance.</w:t>
      </w:r>
    </w:p>
    <w:p w14:paraId="0359B87F" w14:textId="77777777" w:rsidR="00E2023B" w:rsidRPr="00E2023B" w:rsidRDefault="00E2023B" w:rsidP="00E2023B">
      <w:r w:rsidRPr="00E2023B">
        <w:rPr>
          <w:b/>
          <w:bCs/>
        </w:rPr>
        <w:t>Q8. Comment l’IESBA s’engage-t-elle et communique-t-elle son approche de la technologie ?</w:t>
      </w:r>
    </w:p>
    <w:p w14:paraId="24079F4E" w14:textId="77777777" w:rsidR="00E2023B" w:rsidRPr="00E2023B" w:rsidRDefault="00E2023B" w:rsidP="00E2023B">
      <w:r w:rsidRPr="00E2023B">
        <w:t>Dans le cadre de son approche en trois piliers pour aborder les implications éthiques de l’utilisation de la technologie, l’IESBA s’engage activement avec la profession, les régulateurs et d’autres parties prenantes afin de sensibiliser aux dimensions éthiques de l’utilisation de la technologie. Cela inclut, entre autres, des activités de communication et d’engagement des parties prenantes :</w:t>
      </w:r>
    </w:p>
    <w:p w14:paraId="53772B88" w14:textId="77777777" w:rsidR="00E2023B" w:rsidRPr="00E2023B" w:rsidRDefault="00E2023B" w:rsidP="00E2023B">
      <w:pPr>
        <w:numPr>
          <w:ilvl w:val="0"/>
          <w:numId w:val="6"/>
        </w:numPr>
      </w:pPr>
      <w:r w:rsidRPr="00E2023B">
        <w:t>Participation à des événements internationaux, des forums réglementaires et des dialogues de fixation de normes.</w:t>
      </w:r>
    </w:p>
    <w:p w14:paraId="1DCDE317" w14:textId="77777777" w:rsidR="00E2023B" w:rsidRPr="00E2023B" w:rsidRDefault="00E2023B" w:rsidP="00E2023B">
      <w:pPr>
        <w:numPr>
          <w:ilvl w:val="0"/>
          <w:numId w:val="6"/>
        </w:numPr>
      </w:pPr>
      <w:r w:rsidRPr="00E2023B">
        <w:t>Un </w:t>
      </w:r>
      <w:hyperlink r:id="rId11" w:history="1">
        <w:r w:rsidRPr="00E2023B">
          <w:rPr>
            <w:rStyle w:val="Lienhypertexte"/>
          </w:rPr>
          <w:t>espace dédié à la technologie</w:t>
        </w:r>
      </w:hyperlink>
      <w:r w:rsidRPr="00E2023B">
        <w:t> sur le site web de l’IESBA, fournissant des explications en langage clair de l’approche de l’IESBA ainsi que toute la documentation d’accompagnement.</w:t>
      </w:r>
    </w:p>
    <w:p w14:paraId="7E8DA54B" w14:textId="77777777" w:rsidR="00E2023B" w:rsidRPr="00E2023B" w:rsidRDefault="00E2023B" w:rsidP="00E2023B">
      <w:pPr>
        <w:numPr>
          <w:ilvl w:val="0"/>
          <w:numId w:val="6"/>
        </w:numPr>
      </w:pPr>
      <w:r w:rsidRPr="00E2023B">
        <w:t>Le </w:t>
      </w:r>
      <w:hyperlink r:id="rId12" w:tgtFrame="_blank" w:history="1">
        <w:r w:rsidRPr="00E2023B">
          <w:rPr>
            <w:rStyle w:val="Lienhypertexte"/>
          </w:rPr>
          <w:t>podcast Decoding Ethics</w:t>
        </w:r>
      </w:hyperlink>
      <w:r w:rsidRPr="00E2023B">
        <w:t>, avec des épisodes mensuels sur des thèmes technologiques, abordant des sujets d’actualité tels que l’IA et l’IA agentique, l’informatique quantique, les biais d’automatisation, les efforts éducatifs et le jugement humain à l’ère numérique.</w:t>
      </w:r>
    </w:p>
    <w:p w14:paraId="1B0B3A71" w14:textId="77777777" w:rsidR="00E2023B" w:rsidRPr="00E2023B" w:rsidRDefault="00E2023B" w:rsidP="00E2023B">
      <w:pPr>
        <w:numPr>
          <w:ilvl w:val="0"/>
          <w:numId w:val="6"/>
        </w:numPr>
      </w:pPr>
      <w:r w:rsidRPr="00E2023B">
        <w:t>Sensibilisation ciblée au niveau juridictionnel et auprès des organismes professionnels, afin de soutenir l’adoption et la mise en œuvre cohérentes des révisions de 2023.</w:t>
      </w:r>
    </w:p>
    <w:p w14:paraId="18CDAED6" w14:textId="77777777" w:rsidR="00E2023B" w:rsidRPr="00E2023B" w:rsidRDefault="00E2023B" w:rsidP="00E2023B">
      <w:r w:rsidRPr="00E2023B">
        <w:rPr>
          <w:b/>
          <w:bCs/>
        </w:rPr>
        <w:t>À propos de l’IESBA</w:t>
      </w:r>
    </w:p>
    <w:p w14:paraId="25B8FA8C" w14:textId="77777777" w:rsidR="00E2023B" w:rsidRPr="00E2023B" w:rsidRDefault="00E2023B" w:rsidP="00E2023B">
      <w:r w:rsidRPr="00E2023B">
        <w:t>Le </w:t>
      </w:r>
      <w:hyperlink r:id="rId13" w:history="1">
        <w:r w:rsidRPr="00E2023B">
          <w:rPr>
            <w:rStyle w:val="Lienhypertexte"/>
          </w:rPr>
          <w:t>Conseil international des normes éthiques pour les comptables</w:t>
        </w:r>
      </w:hyperlink>
      <w:r w:rsidRPr="00E2023B">
        <w:t> (IESBA) est un organisme indépendant mondial de normalisation. La mission de l’IESBA est de servir l’intérêt public en établissant des normes éthiques internationales de haute qualité (y compris l’indépendance) comme pierre angulaire du comportement éthique dans les entreprises et les organisations, ainsi que de la confiance du public dans les informations financières et non financières fondamentales au bon fonctionnement et à la durabilité des organisations, des marchés financiers et des économies à travers le monde.</w:t>
      </w:r>
    </w:p>
    <w:p w14:paraId="4470862E" w14:textId="77777777" w:rsidR="00E2023B" w:rsidRPr="00E2023B" w:rsidRDefault="00E2023B" w:rsidP="00E2023B">
      <w:r w:rsidRPr="00E2023B">
        <w:t>Avec le </w:t>
      </w:r>
      <w:hyperlink r:id="rId14" w:history="1">
        <w:r w:rsidRPr="00E2023B">
          <w:rPr>
            <w:rStyle w:val="Lienhypertexte"/>
          </w:rPr>
          <w:t>Conseil international des normes d’audit et d’assurance</w:t>
        </w:r>
      </w:hyperlink>
      <w:r w:rsidRPr="00E2023B">
        <w:t> (IAASB), l’IESBA fait partie de la </w:t>
      </w:r>
      <w:hyperlink r:id="rId15" w:history="1">
        <w:r w:rsidRPr="00E2023B">
          <w:rPr>
            <w:rStyle w:val="Lienhypertexte"/>
          </w:rPr>
          <w:t>Fondation internationale pour l’éthique et l’audit</w:t>
        </w:r>
      </w:hyperlink>
      <w:r w:rsidRPr="00E2023B">
        <w:t> (IFEA). Le </w:t>
      </w:r>
      <w:hyperlink r:id="rId16" w:tgtFrame="_blank" w:history="1">
        <w:r w:rsidRPr="00E2023B">
          <w:rPr>
            <w:rStyle w:val="Lienhypertexte"/>
          </w:rPr>
          <w:t>Conseil de surveillance de l’intérêt public</w:t>
        </w:r>
      </w:hyperlink>
      <w:r w:rsidRPr="00E2023B">
        <w:t> (PIOB) supervise les activités de l’IESBA et de l’IAASB ainsi que la réactivité à l’intérêt public des normes.</w:t>
      </w:r>
    </w:p>
    <w:p w14:paraId="75B10FE9" w14:textId="77777777" w:rsidR="00610FCE" w:rsidRDefault="00610FCE"/>
    <w:sectPr w:rsidR="00610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B51"/>
    <w:multiLevelType w:val="multilevel"/>
    <w:tmpl w:val="DA24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215C9"/>
    <w:multiLevelType w:val="multilevel"/>
    <w:tmpl w:val="EA9E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21804"/>
    <w:multiLevelType w:val="multilevel"/>
    <w:tmpl w:val="1C40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729D0"/>
    <w:multiLevelType w:val="multilevel"/>
    <w:tmpl w:val="885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35C65"/>
    <w:multiLevelType w:val="multilevel"/>
    <w:tmpl w:val="B9B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C7C32"/>
    <w:multiLevelType w:val="multilevel"/>
    <w:tmpl w:val="9B8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D152E"/>
    <w:multiLevelType w:val="multilevel"/>
    <w:tmpl w:val="4EC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9438">
    <w:abstractNumId w:val="5"/>
  </w:num>
  <w:num w:numId="2" w16cid:durableId="271868188">
    <w:abstractNumId w:val="4"/>
  </w:num>
  <w:num w:numId="3" w16cid:durableId="1436632722">
    <w:abstractNumId w:val="3"/>
  </w:num>
  <w:num w:numId="4" w16cid:durableId="942154147">
    <w:abstractNumId w:val="0"/>
  </w:num>
  <w:num w:numId="5" w16cid:durableId="613438138">
    <w:abstractNumId w:val="2"/>
  </w:num>
  <w:num w:numId="6" w16cid:durableId="1892186647">
    <w:abstractNumId w:val="6"/>
  </w:num>
  <w:num w:numId="7" w16cid:durableId="59814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280DE8-E788-4D4F-BC62-78D218FAF763}"/>
    <w:docVar w:name="dgnword-eventsink" w:val="2469470596032"/>
  </w:docVars>
  <w:rsids>
    <w:rsidRoot w:val="00E2023B"/>
    <w:rsid w:val="00322F04"/>
    <w:rsid w:val="004B717C"/>
    <w:rsid w:val="00523E20"/>
    <w:rsid w:val="00534936"/>
    <w:rsid w:val="005B7559"/>
    <w:rsid w:val="00610FCE"/>
    <w:rsid w:val="00677D8E"/>
    <w:rsid w:val="006B297B"/>
    <w:rsid w:val="006E58EC"/>
    <w:rsid w:val="009E7537"/>
    <w:rsid w:val="00BA4072"/>
    <w:rsid w:val="00BE09D7"/>
    <w:rsid w:val="00E202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43D4"/>
  <w15:chartTrackingRefBased/>
  <w15:docId w15:val="{7C9E441A-1722-4ACE-BBD7-03F3912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0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0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02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02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2023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202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2023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2023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2023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2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02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023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2023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2023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2023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2023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2023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2023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20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2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2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23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2023B"/>
    <w:pPr>
      <w:spacing w:before="160"/>
      <w:jc w:val="center"/>
    </w:pPr>
    <w:rPr>
      <w:i/>
      <w:iCs/>
      <w:color w:val="404040" w:themeColor="text1" w:themeTint="BF"/>
    </w:rPr>
  </w:style>
  <w:style w:type="character" w:customStyle="1" w:styleId="CitationCar">
    <w:name w:val="Citation Car"/>
    <w:basedOn w:val="Policepardfaut"/>
    <w:link w:val="Citation"/>
    <w:uiPriority w:val="29"/>
    <w:rsid w:val="00E2023B"/>
    <w:rPr>
      <w:i/>
      <w:iCs/>
      <w:color w:val="404040" w:themeColor="text1" w:themeTint="BF"/>
    </w:rPr>
  </w:style>
  <w:style w:type="paragraph" w:styleId="Paragraphedeliste">
    <w:name w:val="List Paragraph"/>
    <w:basedOn w:val="Normal"/>
    <w:uiPriority w:val="34"/>
    <w:qFormat/>
    <w:rsid w:val="00E2023B"/>
    <w:pPr>
      <w:ind w:left="720"/>
      <w:contextualSpacing/>
    </w:pPr>
  </w:style>
  <w:style w:type="character" w:styleId="Accentuationintense">
    <w:name w:val="Intense Emphasis"/>
    <w:basedOn w:val="Policepardfaut"/>
    <w:uiPriority w:val="21"/>
    <w:qFormat/>
    <w:rsid w:val="00E2023B"/>
    <w:rPr>
      <w:i/>
      <w:iCs/>
      <w:color w:val="0F4761" w:themeColor="accent1" w:themeShade="BF"/>
    </w:rPr>
  </w:style>
  <w:style w:type="paragraph" w:styleId="Citationintense">
    <w:name w:val="Intense Quote"/>
    <w:basedOn w:val="Normal"/>
    <w:next w:val="Normal"/>
    <w:link w:val="CitationintenseCar"/>
    <w:uiPriority w:val="30"/>
    <w:qFormat/>
    <w:rsid w:val="00E20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023B"/>
    <w:rPr>
      <w:i/>
      <w:iCs/>
      <w:color w:val="0F4761" w:themeColor="accent1" w:themeShade="BF"/>
    </w:rPr>
  </w:style>
  <w:style w:type="character" w:styleId="Rfrenceintense">
    <w:name w:val="Intense Reference"/>
    <w:basedOn w:val="Policepardfaut"/>
    <w:uiPriority w:val="32"/>
    <w:qFormat/>
    <w:rsid w:val="00E2023B"/>
    <w:rPr>
      <w:b/>
      <w:bCs/>
      <w:smallCaps/>
      <w:color w:val="0F4761" w:themeColor="accent1" w:themeShade="BF"/>
      <w:spacing w:val="5"/>
    </w:rPr>
  </w:style>
  <w:style w:type="character" w:styleId="Lienhypertexte">
    <w:name w:val="Hyperlink"/>
    <w:basedOn w:val="Policepardfaut"/>
    <w:uiPriority w:val="99"/>
    <w:unhideWhenUsed/>
    <w:rsid w:val="00E2023B"/>
    <w:rPr>
      <w:color w:val="467886" w:themeColor="hyperlink"/>
      <w:u w:val="single"/>
    </w:rPr>
  </w:style>
  <w:style w:type="character" w:styleId="Mentionnonrsolue">
    <w:name w:val="Unresolved Mention"/>
    <w:basedOn w:val="Policepardfaut"/>
    <w:uiPriority w:val="99"/>
    <w:semiHidden/>
    <w:unhideWhenUsed/>
    <w:rsid w:val="00E2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icsboard.org/publications/ethical-leadership-digital-era-applying-iesba-code-selected-technology-related-scenarios" TargetMode="External"/><Relationship Id="rId13" Type="http://schemas.openxmlformats.org/officeDocument/2006/relationships/hyperlink" Target="https://www.ethicsboar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hicsboard.org/iesba-code" TargetMode="External"/><Relationship Id="rId12" Type="http://schemas.openxmlformats.org/officeDocument/2006/relationships/hyperlink" Target="https://www.youtube.com/@IESBA/podcas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iob.org/" TargetMode="External"/><Relationship Id="rId1" Type="http://schemas.openxmlformats.org/officeDocument/2006/relationships/numbering" Target="numbering.xml"/><Relationship Id="rId6" Type="http://schemas.openxmlformats.org/officeDocument/2006/relationships/hyperlink" Target="https://www.iaasb.org/" TargetMode="External"/><Relationship Id="rId11" Type="http://schemas.openxmlformats.org/officeDocument/2006/relationships/hyperlink" Target="https://www.ethicsboard.org/focus-areas/technology-ethics-independence-considerations" TargetMode="External"/><Relationship Id="rId5" Type="http://schemas.openxmlformats.org/officeDocument/2006/relationships/hyperlink" Target="https://www.iaasb.org/" TargetMode="External"/><Relationship Id="rId15" Type="http://schemas.openxmlformats.org/officeDocument/2006/relationships/hyperlink" Target="https://www.ethicsandaudit.org/" TargetMode="External"/><Relationship Id="rId10" Type="http://schemas.openxmlformats.org/officeDocument/2006/relationships/hyperlink" Target="https://www.ethicsboard.org/consultations-projects/technology-working-group" TargetMode="External"/><Relationship Id="rId4" Type="http://schemas.openxmlformats.org/officeDocument/2006/relationships/webSettings" Target="webSettings.xml"/><Relationship Id="rId9" Type="http://schemas.openxmlformats.org/officeDocument/2006/relationships/hyperlink" Target="https://www.ethicsboard.org/publications/applying-code-s-conceptual-framework-independence" TargetMode="External"/><Relationship Id="rId14" Type="http://schemas.openxmlformats.org/officeDocument/2006/relationships/hyperlink" Target="https://www.iaas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2343</Words>
  <Characters>12888</Characters>
  <Application>Microsoft Office Word</Application>
  <DocSecurity>0</DocSecurity>
  <Lines>107</Lines>
  <Paragraphs>30</Paragraphs>
  <ScaleCrop>false</ScaleCrop>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Kahn</dc:creator>
  <cp:keywords/>
  <dc:description/>
  <cp:lastModifiedBy>Roger Lassaux</cp:lastModifiedBy>
  <cp:revision>2</cp:revision>
  <dcterms:created xsi:type="dcterms:W3CDTF">2026-07-02T10:53:00Z</dcterms:created>
  <dcterms:modified xsi:type="dcterms:W3CDTF">2026-07-02T10:53:00Z</dcterms:modified>
</cp:coreProperties>
</file>