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066E4" w14:textId="77777777" w:rsidR="005F2975" w:rsidRPr="00D77B2C" w:rsidRDefault="005F2975" w:rsidP="00B75C4E">
      <w:pPr>
        <w:pStyle w:val="Kop1"/>
        <w:rPr>
          <w:lang w:val="en-US"/>
        </w:rPr>
      </w:pPr>
      <w:r w:rsidRPr="00D77B2C">
        <w:rPr>
          <w:lang w:val="en-US"/>
        </w:rPr>
        <w:t>Export declarations and CERTEX</w:t>
      </w:r>
    </w:p>
    <w:p w14:paraId="57F174DC" w14:textId="749890F6" w:rsidR="005F2975" w:rsidRDefault="005774C5" w:rsidP="00B75C4E">
      <w:pPr>
        <w:rPr>
          <w:lang w:val="en-US"/>
        </w:rPr>
      </w:pPr>
      <w:r w:rsidRPr="005774C5">
        <w:rPr>
          <w:lang w:val="en-US"/>
        </w:rPr>
        <w:t>AES sends two types o</w:t>
      </w:r>
      <w:r>
        <w:rPr>
          <w:lang w:val="en-US"/>
        </w:rPr>
        <w:t xml:space="preserve">f </w:t>
      </w:r>
      <w:r w:rsidR="00F62CE3">
        <w:rPr>
          <w:lang w:val="en-US"/>
        </w:rPr>
        <w:t>information</w:t>
      </w:r>
      <w:r>
        <w:rPr>
          <w:lang w:val="en-US"/>
        </w:rPr>
        <w:t xml:space="preserve"> to CERTEX: Ozone Depleting</w:t>
      </w:r>
      <w:r w:rsidR="004E4C3D">
        <w:rPr>
          <w:lang w:val="en-US"/>
        </w:rPr>
        <w:t xml:space="preserve"> Substances and Fluor</w:t>
      </w:r>
      <w:r w:rsidR="00F62CE3">
        <w:rPr>
          <w:lang w:val="en-US"/>
        </w:rPr>
        <w:t>inated greenhouses gases (FGAS)</w:t>
      </w:r>
      <w:r w:rsidR="00DD00A0">
        <w:rPr>
          <w:lang w:val="en-US"/>
        </w:rPr>
        <w:t xml:space="preserve">. Both of these are linked to a number of </w:t>
      </w:r>
      <w:r w:rsidR="00C9410B">
        <w:rPr>
          <w:lang w:val="en-US"/>
        </w:rPr>
        <w:t xml:space="preserve">types of supporting documents and additional information in the export declaration. The rules which </w:t>
      </w:r>
      <w:r w:rsidR="001F61B9">
        <w:rPr>
          <w:lang w:val="en-US"/>
        </w:rPr>
        <w:t xml:space="preserve">of these types are required for which products, are determined by </w:t>
      </w:r>
      <w:r w:rsidR="00B30CF7">
        <w:rPr>
          <w:lang w:val="en-US"/>
        </w:rPr>
        <w:t xml:space="preserve">TARIC, the European rules that are the core of </w:t>
      </w:r>
      <w:r w:rsidR="001F61B9">
        <w:rPr>
          <w:lang w:val="en-US"/>
        </w:rPr>
        <w:t>TARBEL.</w:t>
      </w:r>
    </w:p>
    <w:p w14:paraId="03500294" w14:textId="156C89A2" w:rsidR="00320D5E" w:rsidRDefault="00320D5E" w:rsidP="00B75C4E">
      <w:pPr>
        <w:rPr>
          <w:lang w:val="en-US"/>
        </w:rPr>
      </w:pPr>
      <w:r w:rsidRPr="00320D5E">
        <w:rPr>
          <w:lang w:val="en-US"/>
        </w:rPr>
        <w:t>The overview below show</w:t>
      </w:r>
      <w:r>
        <w:rPr>
          <w:lang w:val="en-US"/>
        </w:rPr>
        <w:t xml:space="preserve">s how these codes work for FGAS. </w:t>
      </w:r>
      <w:r w:rsidR="00841F85">
        <w:rPr>
          <w:lang w:val="en-US"/>
        </w:rPr>
        <w:t>For the codes in the red part, CERTEX only verifies that they are linked to a valid certificate.</w:t>
      </w:r>
    </w:p>
    <w:p w14:paraId="2D87217F" w14:textId="6D3D6DEA" w:rsidR="004C4101" w:rsidRDefault="004C4101" w:rsidP="00B75C4E">
      <w:pPr>
        <w:rPr>
          <w:lang w:val="en-US"/>
        </w:rPr>
      </w:pPr>
      <w:r>
        <w:rPr>
          <w:lang w:val="en-US"/>
        </w:rPr>
        <w:t>The code in blue is contains the identification which CERTEX uses to identify to which account/certificate</w:t>
      </w:r>
      <w:r w:rsidR="00D169B7">
        <w:rPr>
          <w:lang w:val="en-US"/>
        </w:rPr>
        <w:t xml:space="preserve"> the information is linked.</w:t>
      </w:r>
    </w:p>
    <w:p w14:paraId="67EC55E4" w14:textId="749F5F41" w:rsidR="00D169B7" w:rsidRDefault="00D169B7" w:rsidP="00B75C4E">
      <w:pPr>
        <w:rPr>
          <w:lang w:val="en-US"/>
        </w:rPr>
      </w:pPr>
      <w:r>
        <w:rPr>
          <w:lang w:val="en-US"/>
        </w:rPr>
        <w:t xml:space="preserve">The codes in yellow </w:t>
      </w:r>
      <w:r w:rsidR="00E04442">
        <w:rPr>
          <w:lang w:val="en-US"/>
        </w:rPr>
        <w:t xml:space="preserve">contain the quantities of CO2 and FGAS that CERTEX needs to know, and the exceptions </w:t>
      </w:r>
      <w:r w:rsidR="00F47B21">
        <w:rPr>
          <w:lang w:val="en-US"/>
        </w:rPr>
        <w:t>to those codes. CERTEX not only checks the validity of this information, but also tracks the</w:t>
      </w:r>
      <w:r w:rsidR="00434A95">
        <w:rPr>
          <w:lang w:val="en-US"/>
        </w:rPr>
        <w:t xml:space="preserve"> declared</w:t>
      </w:r>
      <w:r w:rsidR="00F47B21">
        <w:rPr>
          <w:lang w:val="en-US"/>
        </w:rPr>
        <w:t xml:space="preserve"> quantities relative to the quantities in the license.</w:t>
      </w:r>
    </w:p>
    <w:p w14:paraId="1A3C8C5A" w14:textId="60E1AE91" w:rsidR="00BB320E" w:rsidRPr="004C4101" w:rsidRDefault="00752DDB" w:rsidP="00B75C4E">
      <w:pPr>
        <w:rPr>
          <w:lang w:val="en-US"/>
        </w:rPr>
      </w:pPr>
      <w:r>
        <w:rPr>
          <w:lang w:val="en-US"/>
        </w:rPr>
        <w:t>The code in black is also covered by the rules in TARBE</w:t>
      </w:r>
      <w:r w:rsidR="00177C5A">
        <w:rPr>
          <w:lang w:val="en-US"/>
        </w:rPr>
        <w:t>L</w:t>
      </w:r>
      <w:r w:rsidR="00BB320E">
        <w:rPr>
          <w:lang w:val="en-US"/>
        </w:rPr>
        <w:t>, but is not verified by CERTEX</w:t>
      </w:r>
    </w:p>
    <w:p w14:paraId="18A539C3" w14:textId="77777777" w:rsidR="00BB320E" w:rsidRPr="004C4101" w:rsidRDefault="00BB320E" w:rsidP="00B75C4E">
      <w:pPr>
        <w:rPr>
          <w:lang w:val="en-US"/>
        </w:rPr>
      </w:pPr>
    </w:p>
    <w:p w14:paraId="1B12EFA5" w14:textId="40804E94" w:rsidR="00B75C4E" w:rsidRDefault="00B75C4E" w:rsidP="00B75C4E">
      <w:r w:rsidRPr="002D2E4D">
        <w:rPr>
          <w:noProof/>
        </w:rPr>
        <w:drawing>
          <wp:inline distT="0" distB="0" distL="0" distR="0" wp14:anchorId="1553621A" wp14:editId="2A9F9162">
            <wp:extent cx="5760720" cy="3300730"/>
            <wp:effectExtent l="0" t="0" r="0" b="0"/>
            <wp:docPr id="134374423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74423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0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B585C" w14:textId="77777777" w:rsidR="002E2AF2" w:rsidRDefault="002E2AF2" w:rsidP="00B75C4E"/>
    <w:p w14:paraId="65C5803E" w14:textId="51789FF4" w:rsidR="00550623" w:rsidRDefault="00B40260" w:rsidP="00B75C4E">
      <w:pPr>
        <w:rPr>
          <w:lang w:val="en-US"/>
        </w:rPr>
      </w:pPr>
      <w:r w:rsidRPr="00B40260">
        <w:rPr>
          <w:lang w:val="en-US"/>
        </w:rPr>
        <w:t>A similar overview exists for O</w:t>
      </w:r>
      <w:r>
        <w:rPr>
          <w:lang w:val="en-US"/>
        </w:rPr>
        <w:t xml:space="preserve">DS, but </w:t>
      </w:r>
      <w:r w:rsidR="00E51EEB">
        <w:rPr>
          <w:lang w:val="en-US"/>
        </w:rPr>
        <w:t xml:space="preserve">I have </w:t>
      </w:r>
      <w:r w:rsidR="00550623">
        <w:rPr>
          <w:lang w:val="en-US"/>
        </w:rPr>
        <w:t>not been able to</w:t>
      </w:r>
      <w:r w:rsidR="00A21EF5">
        <w:rPr>
          <w:lang w:val="en-US"/>
        </w:rPr>
        <w:t xml:space="preserve"> get it.</w:t>
      </w:r>
      <w:r w:rsidR="00CB599C">
        <w:rPr>
          <w:lang w:val="en-US"/>
        </w:rPr>
        <w:t xml:space="preserve"> </w:t>
      </w:r>
      <w:r w:rsidR="00DF08D3">
        <w:rPr>
          <w:lang w:val="en-US"/>
        </w:rPr>
        <w:t>It looks very similar.</w:t>
      </w:r>
    </w:p>
    <w:p w14:paraId="78F4CD32" w14:textId="77777777" w:rsidR="00DF08D3" w:rsidRDefault="00DF08D3" w:rsidP="00B75C4E">
      <w:pPr>
        <w:rPr>
          <w:lang w:val="en-US"/>
        </w:rPr>
      </w:pPr>
    </w:p>
    <w:p w14:paraId="20D825E5" w14:textId="77777777" w:rsidR="00B26CF1" w:rsidRDefault="00B26CF1">
      <w:pPr>
        <w:rPr>
          <w:lang w:val="en-US"/>
        </w:rPr>
      </w:pPr>
      <w:r>
        <w:rPr>
          <w:lang w:val="en-US"/>
        </w:rPr>
        <w:br w:type="page"/>
      </w:r>
    </w:p>
    <w:p w14:paraId="48084642" w14:textId="77777777" w:rsidR="001403E8" w:rsidRPr="00D77B2C" w:rsidRDefault="001403E8" w:rsidP="006577F1">
      <w:pPr>
        <w:rPr>
          <w:b/>
          <w:bCs/>
          <w:lang w:val="en-US"/>
        </w:rPr>
        <w:sectPr w:rsidR="001403E8" w:rsidRPr="00D77B2C" w:rsidSect="009B3D4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38CFCF" w14:textId="25517E63" w:rsidR="00C25F72" w:rsidRPr="00331C7A" w:rsidRDefault="00331C7A" w:rsidP="00331C7A">
      <w:pPr>
        <w:pStyle w:val="Kop1"/>
        <w:rPr>
          <w:lang w:val="en-US"/>
        </w:rPr>
      </w:pPr>
      <w:r w:rsidRPr="00331C7A">
        <w:rPr>
          <w:lang w:val="en-US"/>
        </w:rPr>
        <w:lastRenderedPageBreak/>
        <w:t>How to fill in t</w:t>
      </w:r>
      <w:r>
        <w:rPr>
          <w:lang w:val="en-US"/>
        </w:rPr>
        <w:t>he declaration to avoid a rejection by CERTEX</w:t>
      </w:r>
    </w:p>
    <w:p w14:paraId="7BD51D0B" w14:textId="707FE31D" w:rsidR="006577F1" w:rsidRPr="00331C7A" w:rsidRDefault="006577F1" w:rsidP="006577F1">
      <w:pPr>
        <w:rPr>
          <w:b/>
          <w:bCs/>
          <w:lang w:val="en-US"/>
        </w:rPr>
      </w:pPr>
      <w:r w:rsidRPr="00331C7A">
        <w:rPr>
          <w:b/>
          <w:bCs/>
          <w:lang w:val="en-US"/>
        </w:rPr>
        <w:t>FGAS</w:t>
      </w:r>
    </w:p>
    <w:tbl>
      <w:tblPr>
        <w:tblStyle w:val="Tabelraster"/>
        <w:tblW w:w="14742" w:type="dxa"/>
        <w:tblInd w:w="-5" w:type="dxa"/>
        <w:tblLook w:val="04A0" w:firstRow="1" w:lastRow="0" w:firstColumn="1" w:lastColumn="0" w:noHBand="0" w:noVBand="1"/>
      </w:tblPr>
      <w:tblGrid>
        <w:gridCol w:w="1577"/>
        <w:gridCol w:w="1073"/>
        <w:gridCol w:w="3725"/>
        <w:gridCol w:w="1989"/>
        <w:gridCol w:w="6378"/>
      </w:tblGrid>
      <w:tr w:rsidR="006577F1" w14:paraId="76FC79AF" w14:textId="77777777" w:rsidTr="00022FE3">
        <w:trPr>
          <w:trHeight w:val="1073"/>
        </w:trPr>
        <w:tc>
          <w:tcPr>
            <w:tcW w:w="1577" w:type="dxa"/>
            <w:shd w:val="clear" w:color="auto" w:fill="83CAEB" w:themeFill="accent1" w:themeFillTint="66"/>
            <w:vAlign w:val="center"/>
          </w:tcPr>
          <w:p w14:paraId="39C82828" w14:textId="77777777" w:rsidR="006577F1" w:rsidRDefault="006577F1" w:rsidP="00022F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Registration formalities</w:t>
            </w:r>
          </w:p>
        </w:tc>
        <w:tc>
          <w:tcPr>
            <w:tcW w:w="1073" w:type="dxa"/>
            <w:shd w:val="clear" w:color="auto" w:fill="83CAEB" w:themeFill="accent1" w:themeFillTint="66"/>
          </w:tcPr>
          <w:p w14:paraId="4EB9556E" w14:textId="77777777" w:rsidR="006577F1" w:rsidRPr="00C25595" w:rsidRDefault="006577F1" w:rsidP="00022FE3">
            <w:pPr>
              <w:jc w:val="center"/>
              <w:rPr>
                <w:b/>
                <w:bCs/>
              </w:rPr>
            </w:pPr>
            <w:r w:rsidRPr="00C25595">
              <w:rPr>
                <w:b/>
                <w:bCs/>
              </w:rPr>
              <w:t>Y123</w:t>
            </w:r>
          </w:p>
        </w:tc>
        <w:tc>
          <w:tcPr>
            <w:tcW w:w="3725" w:type="dxa"/>
          </w:tcPr>
          <w:p w14:paraId="370F4111" w14:textId="77777777" w:rsidR="006577F1" w:rsidRDefault="006577F1" w:rsidP="00022FE3">
            <w:r w:rsidRPr="00390847">
              <w:t>Undertaking registered according to Art.20 of Regulation (EU) No 573/2024</w:t>
            </w:r>
            <w:r>
              <w:t>.</w:t>
            </w:r>
          </w:p>
          <w:p w14:paraId="5F3FF66D" w14:textId="77777777" w:rsidR="006577F1" w:rsidRPr="00390847" w:rsidRDefault="006577F1" w:rsidP="00022FE3">
            <w:r w:rsidRPr="00727B9B">
              <w:t>“Registration ID” obtained from FGAS Portal.</w:t>
            </w:r>
          </w:p>
        </w:tc>
        <w:tc>
          <w:tcPr>
            <w:tcW w:w="1989" w:type="dxa"/>
          </w:tcPr>
          <w:p w14:paraId="33DD97DA" w14:textId="77777777" w:rsidR="006577F1" w:rsidRPr="00C37C43" w:rsidRDefault="006577F1" w:rsidP="00022FE3">
            <w:pPr>
              <w:jc w:val="center"/>
            </w:pPr>
            <w:r>
              <w:t>FGAS Portal Registration ID</w:t>
            </w:r>
          </w:p>
        </w:tc>
        <w:tc>
          <w:tcPr>
            <w:tcW w:w="6378" w:type="dxa"/>
          </w:tcPr>
          <w:p w14:paraId="57176162" w14:textId="77777777" w:rsidR="006577F1" w:rsidRPr="00C37C43" w:rsidRDefault="006577F1" w:rsidP="00022FE3">
            <w:r w:rsidRPr="00C37C43">
              <w:t>&lt;</w:t>
            </w:r>
            <w:proofErr w:type="spellStart"/>
            <w:r w:rsidRPr="00C37C43">
              <w:t>AdditionalReference</w:t>
            </w:r>
            <w:proofErr w:type="spellEnd"/>
            <w:r w:rsidRPr="00C37C43">
              <w:t>&gt;</w:t>
            </w:r>
          </w:p>
          <w:p w14:paraId="36FFC89D" w14:textId="77777777" w:rsidR="006577F1" w:rsidRPr="00C37C43" w:rsidRDefault="006577F1" w:rsidP="00022FE3">
            <w:pPr>
              <w:ind w:left="720"/>
            </w:pPr>
            <w:r w:rsidRPr="00C37C43">
              <w:t>&lt;type&gt;Y123&lt;/type&gt;</w:t>
            </w:r>
          </w:p>
          <w:p w14:paraId="0DC00AFA" w14:textId="77777777" w:rsidR="006577F1" w:rsidRPr="00C37C43" w:rsidRDefault="006577F1" w:rsidP="00022FE3">
            <w:pPr>
              <w:ind w:left="720"/>
            </w:pPr>
            <w:r w:rsidRPr="00C37C43">
              <w:t>&lt;</w:t>
            </w:r>
            <w:proofErr w:type="spellStart"/>
            <w:r w:rsidRPr="00C37C43">
              <w:t>referenceNumber</w:t>
            </w:r>
            <w:proofErr w:type="spellEnd"/>
            <w:r w:rsidRPr="00C37C43">
              <w:t>&gt;123457&lt;/</w:t>
            </w:r>
            <w:proofErr w:type="spellStart"/>
            <w:r w:rsidRPr="00C37C43">
              <w:t>referenceNumber</w:t>
            </w:r>
            <w:proofErr w:type="spellEnd"/>
            <w:r w:rsidRPr="00C37C43">
              <w:t>&gt;</w:t>
            </w:r>
          </w:p>
          <w:p w14:paraId="1B71C76E" w14:textId="77777777" w:rsidR="006577F1" w:rsidRPr="00907DF8" w:rsidRDefault="006577F1" w:rsidP="00022FE3">
            <w:r w:rsidRPr="00C37C43">
              <w:t>&lt;/</w:t>
            </w:r>
            <w:proofErr w:type="spellStart"/>
            <w:r w:rsidRPr="00C37C43">
              <w:t>AdditionalReference</w:t>
            </w:r>
            <w:proofErr w:type="spellEnd"/>
            <w:r w:rsidRPr="00C37C43">
              <w:t>&gt;</w:t>
            </w:r>
          </w:p>
        </w:tc>
      </w:tr>
      <w:tr w:rsidR="006577F1" w14:paraId="56F657D9" w14:textId="77777777" w:rsidTr="00022FE3">
        <w:trPr>
          <w:trHeight w:val="1617"/>
        </w:trPr>
        <w:tc>
          <w:tcPr>
            <w:tcW w:w="1577" w:type="dxa"/>
            <w:vMerge w:val="restart"/>
            <w:shd w:val="clear" w:color="auto" w:fill="C1E4F5" w:themeFill="accent1" w:themeFillTint="33"/>
            <w:vAlign w:val="center"/>
          </w:tcPr>
          <w:p w14:paraId="4ED52DA7" w14:textId="77777777" w:rsidR="006577F1" w:rsidRDefault="006577F1" w:rsidP="00022F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General prohibitions</w:t>
            </w:r>
          </w:p>
        </w:tc>
        <w:tc>
          <w:tcPr>
            <w:tcW w:w="1073" w:type="dxa"/>
            <w:shd w:val="clear" w:color="auto" w:fill="C1E4F5" w:themeFill="accent1" w:themeFillTint="33"/>
          </w:tcPr>
          <w:p w14:paraId="63453BE7" w14:textId="77777777" w:rsidR="006577F1" w:rsidRDefault="006577F1" w:rsidP="00022F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Y154</w:t>
            </w:r>
          </w:p>
        </w:tc>
        <w:tc>
          <w:tcPr>
            <w:tcW w:w="3725" w:type="dxa"/>
          </w:tcPr>
          <w:p w14:paraId="7217FDC2" w14:textId="77777777" w:rsidR="006577F1" w:rsidRPr="006F5717" w:rsidRDefault="006577F1" w:rsidP="00022FE3">
            <w:r w:rsidRPr="006F5717">
              <w:t>Exemption from import/export prohibition on containers, non-refillable or without refilling provisions, for fluorinated greenhouse gases, empty or fully or partially filled, for laboratory or analytical uses according to Article 11.3 of Regulation (EU) 2024/573;</w:t>
            </w:r>
          </w:p>
        </w:tc>
        <w:tc>
          <w:tcPr>
            <w:tcW w:w="1989" w:type="dxa"/>
          </w:tcPr>
          <w:p w14:paraId="1D6EEA73" w14:textId="4DF537A1" w:rsidR="006577F1" w:rsidRPr="00DB3A12" w:rsidRDefault="006577F1" w:rsidP="00022FE3">
            <w:pPr>
              <w:jc w:val="center"/>
            </w:pPr>
            <w:r>
              <w:t>an..70</w:t>
            </w:r>
          </w:p>
        </w:tc>
        <w:tc>
          <w:tcPr>
            <w:tcW w:w="6378" w:type="dxa"/>
          </w:tcPr>
          <w:p w14:paraId="4324F1B4" w14:textId="77777777" w:rsidR="006577F1" w:rsidRPr="00DB3A12" w:rsidRDefault="006577F1" w:rsidP="00022FE3">
            <w:r w:rsidRPr="00DB3A12">
              <w:t>&lt;</w:t>
            </w:r>
            <w:proofErr w:type="spellStart"/>
            <w:r w:rsidRPr="00DB3A12">
              <w:t>AdditionalReference</w:t>
            </w:r>
            <w:proofErr w:type="spellEnd"/>
            <w:r w:rsidRPr="00DB3A12">
              <w:t>&gt;</w:t>
            </w:r>
          </w:p>
          <w:p w14:paraId="7B595B82" w14:textId="77777777" w:rsidR="006577F1" w:rsidRPr="00DB3A12" w:rsidRDefault="006577F1" w:rsidP="00022FE3">
            <w:r w:rsidRPr="00DB3A12">
              <w:t>                &lt;type&gt;Y1</w:t>
            </w:r>
            <w:r>
              <w:t>54</w:t>
            </w:r>
            <w:r w:rsidRPr="00DB3A12">
              <w:t>&lt;/type&gt;</w:t>
            </w:r>
          </w:p>
          <w:p w14:paraId="2E187141" w14:textId="77777777" w:rsidR="006577F1" w:rsidRPr="00DB3A12" w:rsidRDefault="006577F1" w:rsidP="00022FE3">
            <w:r w:rsidRPr="00DB3A12">
              <w:t>                &lt;</w:t>
            </w:r>
            <w:proofErr w:type="spellStart"/>
            <w:r w:rsidRPr="00DB3A12">
              <w:t>referenceNumber</w:t>
            </w:r>
            <w:proofErr w:type="spellEnd"/>
            <w:r w:rsidRPr="00DB3A12">
              <w:t>&gt;</w:t>
            </w:r>
            <w:r w:rsidRPr="00674549">
              <w:t>2423685</w:t>
            </w:r>
            <w:r w:rsidRPr="00DB3A12">
              <w:t>&lt;/</w:t>
            </w:r>
            <w:proofErr w:type="spellStart"/>
            <w:r w:rsidRPr="00DB3A12">
              <w:t>referenceNumber</w:t>
            </w:r>
            <w:proofErr w:type="spellEnd"/>
            <w:r w:rsidRPr="00DB3A12">
              <w:t>&gt;</w:t>
            </w:r>
          </w:p>
          <w:p w14:paraId="7ABD9B28" w14:textId="77777777" w:rsidR="006577F1" w:rsidRPr="00907DF8" w:rsidRDefault="006577F1" w:rsidP="00022FE3">
            <w:r w:rsidRPr="00DB3A12">
              <w:t>&lt;/</w:t>
            </w:r>
            <w:proofErr w:type="spellStart"/>
            <w:r w:rsidRPr="00DB3A12">
              <w:t>AdditionalReference</w:t>
            </w:r>
            <w:proofErr w:type="spellEnd"/>
            <w:r w:rsidRPr="00DB3A12">
              <w:t>&gt;</w:t>
            </w:r>
          </w:p>
        </w:tc>
      </w:tr>
      <w:tr w:rsidR="006577F1" w14:paraId="7F929930" w14:textId="77777777" w:rsidTr="00022FE3">
        <w:trPr>
          <w:trHeight w:val="145"/>
        </w:trPr>
        <w:tc>
          <w:tcPr>
            <w:tcW w:w="1577" w:type="dxa"/>
            <w:vMerge/>
            <w:shd w:val="clear" w:color="auto" w:fill="C1E4F5" w:themeFill="accent1" w:themeFillTint="33"/>
          </w:tcPr>
          <w:p w14:paraId="439505A9" w14:textId="77777777" w:rsidR="006577F1" w:rsidRDefault="006577F1" w:rsidP="00022FE3">
            <w:pPr>
              <w:rPr>
                <w:b/>
                <w:bCs/>
              </w:rPr>
            </w:pPr>
          </w:p>
        </w:tc>
        <w:tc>
          <w:tcPr>
            <w:tcW w:w="1073" w:type="dxa"/>
            <w:shd w:val="clear" w:color="auto" w:fill="C1E4F5" w:themeFill="accent1" w:themeFillTint="33"/>
          </w:tcPr>
          <w:p w14:paraId="4706F877" w14:textId="77777777" w:rsidR="006577F1" w:rsidRDefault="006577F1" w:rsidP="00022F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Y161</w:t>
            </w:r>
          </w:p>
        </w:tc>
        <w:tc>
          <w:tcPr>
            <w:tcW w:w="3725" w:type="dxa"/>
          </w:tcPr>
          <w:p w14:paraId="7176BF6D" w14:textId="77777777" w:rsidR="006577F1" w:rsidRPr="006F5717" w:rsidRDefault="006577F1" w:rsidP="00022FE3">
            <w:r w:rsidRPr="006F5717">
              <w:t>Exemption from export prohibition according to Article 22.3, second subparagraph of Regulation (EU) 2024/573</w:t>
            </w:r>
          </w:p>
        </w:tc>
        <w:tc>
          <w:tcPr>
            <w:tcW w:w="1989" w:type="dxa"/>
          </w:tcPr>
          <w:p w14:paraId="739A9C66" w14:textId="77777777" w:rsidR="006577F1" w:rsidRPr="00DB3A12" w:rsidRDefault="006577F1" w:rsidP="00022FE3">
            <w:pPr>
              <w:jc w:val="center"/>
            </w:pPr>
            <w:r>
              <w:t>an..70</w:t>
            </w:r>
          </w:p>
        </w:tc>
        <w:tc>
          <w:tcPr>
            <w:tcW w:w="6378" w:type="dxa"/>
          </w:tcPr>
          <w:p w14:paraId="0D6EF32A" w14:textId="77777777" w:rsidR="006577F1" w:rsidRPr="00DB3A12" w:rsidRDefault="006577F1" w:rsidP="00022FE3">
            <w:r w:rsidRPr="00DB3A12">
              <w:t>&lt;</w:t>
            </w:r>
            <w:proofErr w:type="spellStart"/>
            <w:r w:rsidRPr="00DB3A12">
              <w:t>AdditionalReference</w:t>
            </w:r>
            <w:proofErr w:type="spellEnd"/>
            <w:r w:rsidRPr="00DB3A12">
              <w:t>&gt;</w:t>
            </w:r>
          </w:p>
          <w:p w14:paraId="74733A57" w14:textId="77777777" w:rsidR="006577F1" w:rsidRPr="00DB3A12" w:rsidRDefault="006577F1" w:rsidP="00022FE3">
            <w:r w:rsidRPr="00DB3A12">
              <w:t>                &lt;type&gt;Y161&lt;/type&gt;</w:t>
            </w:r>
          </w:p>
          <w:p w14:paraId="039222A1" w14:textId="77777777" w:rsidR="006577F1" w:rsidRPr="00DB3A12" w:rsidRDefault="006577F1" w:rsidP="00022FE3">
            <w:r w:rsidRPr="00DB3A12">
              <w:t>                &lt;</w:t>
            </w:r>
            <w:proofErr w:type="spellStart"/>
            <w:r w:rsidRPr="00DB3A12">
              <w:t>referenceNumber</w:t>
            </w:r>
            <w:proofErr w:type="spellEnd"/>
            <w:r w:rsidRPr="00DB3A12">
              <w:t>&gt;84827&lt;/</w:t>
            </w:r>
            <w:proofErr w:type="spellStart"/>
            <w:r w:rsidRPr="00DB3A12">
              <w:t>referenceNumber</w:t>
            </w:r>
            <w:proofErr w:type="spellEnd"/>
            <w:r w:rsidRPr="00DB3A12">
              <w:t>&gt;</w:t>
            </w:r>
          </w:p>
          <w:p w14:paraId="18473A41" w14:textId="77777777" w:rsidR="006577F1" w:rsidRPr="00907DF8" w:rsidRDefault="006577F1" w:rsidP="00022FE3">
            <w:r w:rsidRPr="00DB3A12">
              <w:t>&lt;/</w:t>
            </w:r>
            <w:proofErr w:type="spellStart"/>
            <w:r w:rsidRPr="00DB3A12">
              <w:t>AdditionalReference</w:t>
            </w:r>
            <w:proofErr w:type="spellEnd"/>
            <w:r w:rsidRPr="00DB3A12">
              <w:t>&gt;</w:t>
            </w:r>
          </w:p>
        </w:tc>
      </w:tr>
      <w:tr w:rsidR="006577F1" w14:paraId="145C95D7" w14:textId="77777777" w:rsidTr="00022FE3">
        <w:trPr>
          <w:trHeight w:val="1073"/>
        </w:trPr>
        <w:tc>
          <w:tcPr>
            <w:tcW w:w="1577" w:type="dxa"/>
            <w:vMerge w:val="restart"/>
            <w:shd w:val="clear" w:color="auto" w:fill="DAE9F7" w:themeFill="text2" w:themeFillTint="1A"/>
            <w:vAlign w:val="center"/>
          </w:tcPr>
          <w:p w14:paraId="360BD4E1" w14:textId="77777777" w:rsidR="006577F1" w:rsidRDefault="006577F1" w:rsidP="00022F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Information requirements</w:t>
            </w:r>
          </w:p>
        </w:tc>
        <w:tc>
          <w:tcPr>
            <w:tcW w:w="1073" w:type="dxa"/>
            <w:shd w:val="clear" w:color="auto" w:fill="DAE9F7" w:themeFill="text2" w:themeFillTint="1A"/>
          </w:tcPr>
          <w:p w14:paraId="7EF27AC0" w14:textId="77777777" w:rsidR="006577F1" w:rsidRDefault="006577F1" w:rsidP="00022F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Y121</w:t>
            </w:r>
          </w:p>
        </w:tc>
        <w:tc>
          <w:tcPr>
            <w:tcW w:w="3725" w:type="dxa"/>
          </w:tcPr>
          <w:p w14:paraId="375C0EBD" w14:textId="77777777" w:rsidR="006577F1" w:rsidRPr="006F5717" w:rsidRDefault="006577F1" w:rsidP="00022FE3">
            <w:proofErr w:type="spellStart"/>
            <w:r w:rsidRPr="006F5717">
              <w:t>Tonnes</w:t>
            </w:r>
            <w:proofErr w:type="spellEnd"/>
            <w:r w:rsidRPr="006F5717">
              <w:t xml:space="preserve"> of CO₂ equivalent of bulk gases and of gases contained in products or equipment, and parts thereof</w:t>
            </w:r>
          </w:p>
        </w:tc>
        <w:tc>
          <w:tcPr>
            <w:tcW w:w="1989" w:type="dxa"/>
          </w:tcPr>
          <w:p w14:paraId="61AE2D38" w14:textId="417893FE" w:rsidR="006577F1" w:rsidRPr="002D6456" w:rsidRDefault="006577F1" w:rsidP="00022FE3">
            <w:pPr>
              <w:jc w:val="center"/>
            </w:pPr>
            <w:r w:rsidRPr="009719AE">
              <w:t>n..16</w:t>
            </w:r>
            <w:r w:rsidR="000C3053">
              <w:t>.</w:t>
            </w:r>
            <w:r w:rsidRPr="009719AE">
              <w:t>6</w:t>
            </w:r>
          </w:p>
        </w:tc>
        <w:tc>
          <w:tcPr>
            <w:tcW w:w="6378" w:type="dxa"/>
          </w:tcPr>
          <w:p w14:paraId="72099EE6" w14:textId="77777777" w:rsidR="006577F1" w:rsidRPr="002D6456" w:rsidRDefault="006577F1" w:rsidP="00022FE3">
            <w:r w:rsidRPr="002D6456">
              <w:t>&lt;</w:t>
            </w:r>
            <w:proofErr w:type="spellStart"/>
            <w:r w:rsidRPr="002D6456">
              <w:t>AdditionalReference</w:t>
            </w:r>
            <w:proofErr w:type="spellEnd"/>
            <w:r w:rsidRPr="002D6456">
              <w:t xml:space="preserve">&gt;        </w:t>
            </w:r>
          </w:p>
          <w:p w14:paraId="7621CA6C" w14:textId="77777777" w:rsidR="006577F1" w:rsidRPr="002D6456" w:rsidRDefault="006577F1" w:rsidP="00022FE3">
            <w:pPr>
              <w:ind w:left="720"/>
            </w:pPr>
            <w:r w:rsidRPr="002D6456">
              <w:t>&lt;type&gt;Y121&lt;/type&gt;</w:t>
            </w:r>
          </w:p>
          <w:p w14:paraId="095F8E98" w14:textId="77777777" w:rsidR="006577F1" w:rsidRPr="002D6456" w:rsidRDefault="006577F1" w:rsidP="00022FE3">
            <w:pPr>
              <w:ind w:left="720"/>
            </w:pPr>
            <w:r w:rsidRPr="002D6456">
              <w:t>&lt;</w:t>
            </w:r>
            <w:proofErr w:type="spellStart"/>
            <w:r w:rsidRPr="002D6456">
              <w:t>referenceNumber</w:t>
            </w:r>
            <w:proofErr w:type="spellEnd"/>
            <w:r w:rsidRPr="002D6456">
              <w:t>&gt;3375&lt;/</w:t>
            </w:r>
            <w:proofErr w:type="spellStart"/>
            <w:r w:rsidRPr="002D6456">
              <w:t>referenceNumber</w:t>
            </w:r>
            <w:proofErr w:type="spellEnd"/>
            <w:r w:rsidRPr="002D6456">
              <w:t>&gt;</w:t>
            </w:r>
          </w:p>
          <w:p w14:paraId="31EE0C5A" w14:textId="77777777" w:rsidR="006577F1" w:rsidRPr="002D6456" w:rsidRDefault="006577F1" w:rsidP="00022FE3">
            <w:r w:rsidRPr="002D6456">
              <w:t>&lt;/</w:t>
            </w:r>
            <w:proofErr w:type="spellStart"/>
            <w:r w:rsidRPr="002D6456">
              <w:t>AdditionalReference</w:t>
            </w:r>
            <w:proofErr w:type="spellEnd"/>
            <w:r w:rsidRPr="002D6456">
              <w:t>&gt;</w:t>
            </w:r>
          </w:p>
        </w:tc>
      </w:tr>
      <w:tr w:rsidR="006577F1" w14:paraId="172EEF7E" w14:textId="77777777" w:rsidTr="00022FE3">
        <w:trPr>
          <w:trHeight w:val="145"/>
        </w:trPr>
        <w:tc>
          <w:tcPr>
            <w:tcW w:w="1577" w:type="dxa"/>
            <w:vMerge/>
            <w:shd w:val="clear" w:color="auto" w:fill="DAE9F7" w:themeFill="text2" w:themeFillTint="1A"/>
          </w:tcPr>
          <w:p w14:paraId="3EED14F9" w14:textId="77777777" w:rsidR="006577F1" w:rsidRDefault="006577F1" w:rsidP="00022FE3">
            <w:pPr>
              <w:rPr>
                <w:b/>
                <w:bCs/>
              </w:rPr>
            </w:pPr>
          </w:p>
        </w:tc>
        <w:tc>
          <w:tcPr>
            <w:tcW w:w="1073" w:type="dxa"/>
            <w:shd w:val="clear" w:color="auto" w:fill="DAE9F7" w:themeFill="text2" w:themeFillTint="1A"/>
          </w:tcPr>
          <w:p w14:paraId="284A7351" w14:textId="77777777" w:rsidR="006577F1" w:rsidRDefault="006577F1" w:rsidP="00022F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Y163</w:t>
            </w:r>
          </w:p>
        </w:tc>
        <w:tc>
          <w:tcPr>
            <w:tcW w:w="3725" w:type="dxa"/>
          </w:tcPr>
          <w:p w14:paraId="4B36C29E" w14:textId="77777777" w:rsidR="006577F1" w:rsidRPr="006F5717" w:rsidRDefault="006577F1" w:rsidP="00022FE3">
            <w:r w:rsidRPr="006F5717">
              <w:t>Net mass of fluorinated greenhouse gases charged in products and equipment</w:t>
            </w:r>
          </w:p>
        </w:tc>
        <w:tc>
          <w:tcPr>
            <w:tcW w:w="1989" w:type="dxa"/>
          </w:tcPr>
          <w:p w14:paraId="0ED4F939" w14:textId="5607C14B" w:rsidR="006577F1" w:rsidRPr="00C37C43" w:rsidRDefault="006577F1" w:rsidP="00022FE3">
            <w:pPr>
              <w:jc w:val="center"/>
            </w:pPr>
            <w:r w:rsidRPr="009719AE">
              <w:t>n..16</w:t>
            </w:r>
            <w:r w:rsidR="000C3053">
              <w:t>.</w:t>
            </w:r>
            <w:r w:rsidRPr="009719AE">
              <w:t>6</w:t>
            </w:r>
          </w:p>
        </w:tc>
        <w:tc>
          <w:tcPr>
            <w:tcW w:w="6378" w:type="dxa"/>
          </w:tcPr>
          <w:p w14:paraId="1B69C0AC" w14:textId="77777777" w:rsidR="006577F1" w:rsidRPr="00C37C43" w:rsidRDefault="006577F1" w:rsidP="00022FE3">
            <w:r w:rsidRPr="00C37C43">
              <w:t>&lt;</w:t>
            </w:r>
            <w:proofErr w:type="spellStart"/>
            <w:r w:rsidRPr="00C37C43">
              <w:t>AdditionalReference</w:t>
            </w:r>
            <w:proofErr w:type="spellEnd"/>
            <w:r w:rsidRPr="00C37C43">
              <w:t>&gt;</w:t>
            </w:r>
          </w:p>
          <w:p w14:paraId="43114C78" w14:textId="77777777" w:rsidR="006577F1" w:rsidRPr="00C37C43" w:rsidRDefault="006577F1" w:rsidP="00022FE3">
            <w:pPr>
              <w:ind w:left="720"/>
            </w:pPr>
            <w:r w:rsidRPr="00C37C43">
              <w:t>&lt;type&gt;Y163&lt;/type&gt;</w:t>
            </w:r>
          </w:p>
          <w:p w14:paraId="09AF6419" w14:textId="77777777" w:rsidR="006577F1" w:rsidRPr="00C37C43" w:rsidRDefault="006577F1" w:rsidP="00022FE3">
            <w:pPr>
              <w:ind w:left="720"/>
            </w:pPr>
            <w:r w:rsidRPr="00C37C43">
              <w:t>&lt;</w:t>
            </w:r>
            <w:proofErr w:type="spellStart"/>
            <w:r w:rsidRPr="00C37C43">
              <w:t>referenceNumber</w:t>
            </w:r>
            <w:proofErr w:type="spellEnd"/>
            <w:r w:rsidRPr="00C37C43">
              <w:t>&gt;5000&lt;/</w:t>
            </w:r>
            <w:proofErr w:type="spellStart"/>
            <w:r w:rsidRPr="00C37C43">
              <w:t>referenceNumber</w:t>
            </w:r>
            <w:proofErr w:type="spellEnd"/>
            <w:r w:rsidRPr="00C37C43">
              <w:t>&gt;</w:t>
            </w:r>
          </w:p>
          <w:p w14:paraId="289FD805" w14:textId="77777777" w:rsidR="006577F1" w:rsidRPr="00907DF8" w:rsidRDefault="006577F1" w:rsidP="00022FE3">
            <w:r w:rsidRPr="00C37C43">
              <w:t>&lt;/</w:t>
            </w:r>
            <w:proofErr w:type="spellStart"/>
            <w:r w:rsidRPr="00C37C43">
              <w:t>AdditionalReference</w:t>
            </w:r>
            <w:proofErr w:type="spellEnd"/>
            <w:r w:rsidRPr="00C37C43">
              <w:t>&gt;</w:t>
            </w:r>
          </w:p>
        </w:tc>
      </w:tr>
    </w:tbl>
    <w:p w14:paraId="7EA666AC" w14:textId="77777777" w:rsidR="006577F1" w:rsidRDefault="006577F1" w:rsidP="006577F1">
      <w:pPr>
        <w:rPr>
          <w:b/>
          <w:bCs/>
        </w:rPr>
      </w:pPr>
    </w:p>
    <w:p w14:paraId="739B0B31" w14:textId="77777777" w:rsidR="007D0A2C" w:rsidRDefault="007D0A2C" w:rsidP="006577F1">
      <w:pPr>
        <w:rPr>
          <w:b/>
          <w:bCs/>
        </w:rPr>
      </w:pPr>
    </w:p>
    <w:p w14:paraId="670556FD" w14:textId="77777777" w:rsidR="007D0A2C" w:rsidRDefault="007D0A2C" w:rsidP="006577F1">
      <w:pPr>
        <w:rPr>
          <w:b/>
          <w:bCs/>
        </w:rPr>
      </w:pPr>
    </w:p>
    <w:p w14:paraId="0535EA18" w14:textId="1E0954C2" w:rsidR="006577F1" w:rsidRPr="00291A8E" w:rsidRDefault="006577F1" w:rsidP="006577F1">
      <w:pPr>
        <w:rPr>
          <w:b/>
          <w:bCs/>
        </w:rPr>
      </w:pPr>
      <w:r w:rsidRPr="00291A8E">
        <w:rPr>
          <w:b/>
          <w:bCs/>
        </w:rPr>
        <w:t>ODS</w:t>
      </w:r>
    </w:p>
    <w:tbl>
      <w:tblPr>
        <w:tblStyle w:val="Tabelraster"/>
        <w:tblW w:w="14744" w:type="dxa"/>
        <w:tblLayout w:type="fixed"/>
        <w:tblLook w:val="04A0" w:firstRow="1" w:lastRow="0" w:firstColumn="1" w:lastColumn="0" w:noHBand="0" w:noVBand="1"/>
      </w:tblPr>
      <w:tblGrid>
        <w:gridCol w:w="1696"/>
        <w:gridCol w:w="709"/>
        <w:gridCol w:w="4536"/>
        <w:gridCol w:w="1418"/>
        <w:gridCol w:w="6385"/>
      </w:tblGrid>
      <w:tr w:rsidR="006577F1" w:rsidRPr="000C3053" w14:paraId="483513BE" w14:textId="77777777" w:rsidTr="00022FE3">
        <w:trPr>
          <w:trHeight w:val="1116"/>
        </w:trPr>
        <w:tc>
          <w:tcPr>
            <w:tcW w:w="1696" w:type="dxa"/>
            <w:shd w:val="clear" w:color="auto" w:fill="83CAEB" w:themeFill="accent1" w:themeFillTint="66"/>
            <w:vAlign w:val="center"/>
          </w:tcPr>
          <w:p w14:paraId="00624B80" w14:textId="77777777" w:rsidR="006577F1" w:rsidRDefault="006577F1" w:rsidP="00022FE3">
            <w:pPr>
              <w:jc w:val="center"/>
            </w:pPr>
            <w:r>
              <w:rPr>
                <w:b/>
                <w:bCs/>
              </w:rPr>
              <w:t>Registration formalities</w:t>
            </w:r>
          </w:p>
        </w:tc>
        <w:tc>
          <w:tcPr>
            <w:tcW w:w="709" w:type="dxa"/>
            <w:shd w:val="clear" w:color="auto" w:fill="83CAEB" w:themeFill="accent1" w:themeFillTint="66"/>
          </w:tcPr>
          <w:p w14:paraId="55F72A7E" w14:textId="77777777" w:rsidR="006577F1" w:rsidRDefault="006577F1" w:rsidP="00022FE3">
            <w:pPr>
              <w:jc w:val="center"/>
            </w:pPr>
            <w:r>
              <w:t>E013</w:t>
            </w:r>
          </w:p>
        </w:tc>
        <w:tc>
          <w:tcPr>
            <w:tcW w:w="4536" w:type="dxa"/>
          </w:tcPr>
          <w:p w14:paraId="0625F813" w14:textId="77777777" w:rsidR="006577F1" w:rsidRDefault="006577F1" w:rsidP="00022FE3">
            <w:r w:rsidRPr="00B64C84">
              <w:t xml:space="preserve">Export </w:t>
            </w:r>
            <w:proofErr w:type="spellStart"/>
            <w:r w:rsidRPr="00B64C84">
              <w:t>licence</w:t>
            </w:r>
            <w:proofErr w:type="spellEnd"/>
            <w:r w:rsidRPr="00B64C84">
              <w:t xml:space="preserve"> for ozone-depleting substances and equipment in accordance with Article 16 of Regulation (EU) 2024/590;</w:t>
            </w:r>
          </w:p>
        </w:tc>
        <w:tc>
          <w:tcPr>
            <w:tcW w:w="1418" w:type="dxa"/>
          </w:tcPr>
          <w:p w14:paraId="79AA99A9" w14:textId="77777777" w:rsidR="006577F1" w:rsidRPr="00190E5C" w:rsidRDefault="006577F1" w:rsidP="00022FE3">
            <w:pPr>
              <w:jc w:val="center"/>
            </w:pPr>
            <w:r w:rsidRPr="006C3029">
              <w:t>EXP-</w:t>
            </w:r>
            <w:proofErr w:type="spellStart"/>
            <w:r w:rsidRPr="006C3029">
              <w:t>xxxxxxxx</w:t>
            </w:r>
            <w:proofErr w:type="spellEnd"/>
            <w:r w:rsidRPr="006C3029">
              <w:t>-</w:t>
            </w:r>
            <w:proofErr w:type="spellStart"/>
            <w:r w:rsidRPr="006C3029">
              <w:t>xxxxxxxx</w:t>
            </w:r>
            <w:proofErr w:type="spellEnd"/>
            <w:r w:rsidRPr="006C3029">
              <w:t>-</w:t>
            </w:r>
            <w:r w:rsidRPr="006C3029">
              <w:br/>
            </w:r>
            <w:proofErr w:type="spellStart"/>
            <w:r w:rsidRPr="006C3029">
              <w:t>xxxxxxxx</w:t>
            </w:r>
            <w:proofErr w:type="spellEnd"/>
          </w:p>
        </w:tc>
        <w:tc>
          <w:tcPr>
            <w:tcW w:w="6385" w:type="dxa"/>
          </w:tcPr>
          <w:p w14:paraId="20D5E168" w14:textId="77777777" w:rsidR="006577F1" w:rsidRDefault="006577F1" w:rsidP="00022FE3">
            <w:r w:rsidRPr="00190E5C">
              <w:t>&lt;</w:t>
            </w:r>
            <w:proofErr w:type="spellStart"/>
            <w:r w:rsidRPr="00190E5C">
              <w:t>SupportingDocument</w:t>
            </w:r>
            <w:proofErr w:type="spellEnd"/>
            <w:r w:rsidRPr="00190E5C">
              <w:t>&gt;</w:t>
            </w:r>
            <w:r w:rsidRPr="00190E5C">
              <w:br/>
              <w:t xml:space="preserve">                &lt;type&gt;E013&lt;/type&gt;</w:t>
            </w:r>
            <w:r w:rsidRPr="00190E5C">
              <w:br/>
              <w:t xml:space="preserve">                &lt;</w:t>
            </w:r>
            <w:proofErr w:type="spellStart"/>
            <w:r w:rsidRPr="00190E5C">
              <w:t>referenceNumber</w:t>
            </w:r>
            <w:proofErr w:type="spellEnd"/>
            <w:r w:rsidRPr="00190E5C">
              <w:t>&gt;EXP-HA84P-EHCO-2000-00061038&lt;/</w:t>
            </w:r>
            <w:proofErr w:type="spellStart"/>
            <w:r w:rsidRPr="00190E5C">
              <w:t>referenceNumber</w:t>
            </w:r>
            <w:proofErr w:type="spellEnd"/>
            <w:r w:rsidRPr="00190E5C">
              <w:t>&gt;</w:t>
            </w:r>
            <w:r w:rsidRPr="00190E5C">
              <w:br/>
              <w:t xml:space="preserve">                            &lt;/</w:t>
            </w:r>
            <w:proofErr w:type="spellStart"/>
            <w:r w:rsidRPr="00190E5C">
              <w:t>SupportingDocument</w:t>
            </w:r>
            <w:proofErr w:type="spellEnd"/>
            <w:r w:rsidRPr="00190E5C">
              <w:t>&gt;</w:t>
            </w:r>
          </w:p>
        </w:tc>
      </w:tr>
      <w:tr w:rsidR="006577F1" w:rsidRPr="000C3053" w14:paraId="30F7607F" w14:textId="77777777" w:rsidTr="00022FE3">
        <w:trPr>
          <w:trHeight w:val="1116"/>
        </w:trPr>
        <w:tc>
          <w:tcPr>
            <w:tcW w:w="1696" w:type="dxa"/>
            <w:vMerge w:val="restart"/>
            <w:shd w:val="clear" w:color="auto" w:fill="DAE9F7" w:themeFill="text2" w:themeFillTint="1A"/>
            <w:vAlign w:val="center"/>
          </w:tcPr>
          <w:p w14:paraId="37434C5F" w14:textId="77777777" w:rsidR="006577F1" w:rsidRDefault="006577F1" w:rsidP="00022FE3">
            <w:pPr>
              <w:jc w:val="center"/>
            </w:pPr>
            <w:r>
              <w:rPr>
                <w:b/>
                <w:bCs/>
              </w:rPr>
              <w:t>Information requirements</w:t>
            </w:r>
          </w:p>
        </w:tc>
        <w:tc>
          <w:tcPr>
            <w:tcW w:w="709" w:type="dxa"/>
            <w:shd w:val="clear" w:color="auto" w:fill="DAE9F7" w:themeFill="text2" w:themeFillTint="1A"/>
          </w:tcPr>
          <w:p w14:paraId="2BD5A504" w14:textId="77777777" w:rsidR="006577F1" w:rsidRDefault="006577F1" w:rsidP="00022FE3">
            <w:pPr>
              <w:jc w:val="center"/>
            </w:pPr>
            <w:r>
              <w:t>Y797</w:t>
            </w:r>
          </w:p>
        </w:tc>
        <w:tc>
          <w:tcPr>
            <w:tcW w:w="4536" w:type="dxa"/>
          </w:tcPr>
          <w:p w14:paraId="3E284F63" w14:textId="77777777" w:rsidR="006577F1" w:rsidRDefault="006577F1" w:rsidP="00022FE3">
            <w:r w:rsidRPr="00B64C84">
              <w:t>ODS Licensing System registration identification number as defined in Article 17.3 (a) of Regulation (EU) 2024/590</w:t>
            </w:r>
          </w:p>
        </w:tc>
        <w:tc>
          <w:tcPr>
            <w:tcW w:w="1418" w:type="dxa"/>
          </w:tcPr>
          <w:p w14:paraId="2B7A6700" w14:textId="77777777" w:rsidR="006577F1" w:rsidRPr="007E0CDC" w:rsidRDefault="006577F1" w:rsidP="00022FE3">
            <w:pPr>
              <w:jc w:val="center"/>
            </w:pPr>
            <w:r>
              <w:t>an..35</w:t>
            </w:r>
          </w:p>
        </w:tc>
        <w:tc>
          <w:tcPr>
            <w:tcW w:w="6385" w:type="dxa"/>
          </w:tcPr>
          <w:p w14:paraId="11CE4345" w14:textId="77777777" w:rsidR="006577F1" w:rsidRDefault="006577F1" w:rsidP="00022FE3">
            <w:r w:rsidRPr="007E0CDC">
              <w:t>&lt;</w:t>
            </w:r>
            <w:proofErr w:type="spellStart"/>
            <w:r w:rsidRPr="007E0CDC">
              <w:t>AdditionalReference</w:t>
            </w:r>
            <w:proofErr w:type="spellEnd"/>
            <w:r w:rsidRPr="007E0CDC">
              <w:t>&gt;</w:t>
            </w:r>
            <w:r w:rsidRPr="007E0CDC">
              <w:br/>
              <w:t xml:space="preserve">                 &lt;type&gt;Y797&lt;/type&gt;</w:t>
            </w:r>
            <w:r w:rsidRPr="007E0CDC">
              <w:br/>
              <w:t xml:space="preserve">                &lt;</w:t>
            </w:r>
            <w:proofErr w:type="spellStart"/>
            <w:r w:rsidRPr="007E0CDC">
              <w:t>referenceNumber</w:t>
            </w:r>
            <w:proofErr w:type="spellEnd"/>
            <w:r w:rsidRPr="007E0CDC">
              <w:t>&gt;ODSHA84P&lt;/</w:t>
            </w:r>
            <w:proofErr w:type="spellStart"/>
            <w:r w:rsidRPr="007E0CDC">
              <w:t>referenceNumber</w:t>
            </w:r>
            <w:proofErr w:type="spellEnd"/>
            <w:r w:rsidRPr="007E0CDC">
              <w:t>&gt;</w:t>
            </w:r>
            <w:r w:rsidRPr="007E0CDC">
              <w:br/>
              <w:t xml:space="preserve"> &lt;/</w:t>
            </w:r>
            <w:proofErr w:type="spellStart"/>
            <w:r w:rsidRPr="007E0CDC">
              <w:t>AdditionalReference</w:t>
            </w:r>
            <w:proofErr w:type="spellEnd"/>
            <w:r w:rsidRPr="007E0CDC">
              <w:t>&gt;</w:t>
            </w:r>
          </w:p>
        </w:tc>
      </w:tr>
      <w:tr w:rsidR="006577F1" w:rsidRPr="000C3053" w14:paraId="2950FCA9" w14:textId="77777777" w:rsidTr="00022FE3">
        <w:trPr>
          <w:trHeight w:val="147"/>
        </w:trPr>
        <w:tc>
          <w:tcPr>
            <w:tcW w:w="1696" w:type="dxa"/>
            <w:vMerge/>
            <w:shd w:val="clear" w:color="auto" w:fill="DAE9F7" w:themeFill="text2" w:themeFillTint="1A"/>
          </w:tcPr>
          <w:p w14:paraId="1D3DA4FB" w14:textId="77777777" w:rsidR="006577F1" w:rsidRDefault="006577F1" w:rsidP="00022FE3"/>
        </w:tc>
        <w:tc>
          <w:tcPr>
            <w:tcW w:w="709" w:type="dxa"/>
            <w:shd w:val="clear" w:color="auto" w:fill="DAE9F7" w:themeFill="text2" w:themeFillTint="1A"/>
          </w:tcPr>
          <w:p w14:paraId="60EEF78A" w14:textId="77777777" w:rsidR="006577F1" w:rsidRDefault="006577F1" w:rsidP="00022FE3">
            <w:pPr>
              <w:jc w:val="center"/>
            </w:pPr>
            <w:r>
              <w:t>Y798</w:t>
            </w:r>
          </w:p>
        </w:tc>
        <w:tc>
          <w:tcPr>
            <w:tcW w:w="4536" w:type="dxa"/>
          </w:tcPr>
          <w:p w14:paraId="4A9B587A" w14:textId="77777777" w:rsidR="006577F1" w:rsidRDefault="006577F1" w:rsidP="00022FE3">
            <w:r w:rsidRPr="00B64C84">
              <w:t>Declaration of net mass of ozone-depleting substance(s), when included in products and equipment</w:t>
            </w:r>
          </w:p>
        </w:tc>
        <w:tc>
          <w:tcPr>
            <w:tcW w:w="1418" w:type="dxa"/>
          </w:tcPr>
          <w:p w14:paraId="449E1703" w14:textId="020F2B27" w:rsidR="006577F1" w:rsidRPr="001156E9" w:rsidRDefault="006577F1" w:rsidP="00022FE3">
            <w:pPr>
              <w:jc w:val="center"/>
            </w:pPr>
            <w:r w:rsidRPr="00E00751">
              <w:t>n..16</w:t>
            </w:r>
            <w:r w:rsidR="0094587E">
              <w:t>.</w:t>
            </w:r>
            <w:r w:rsidRPr="00E00751">
              <w:t>6</w:t>
            </w:r>
          </w:p>
        </w:tc>
        <w:tc>
          <w:tcPr>
            <w:tcW w:w="6385" w:type="dxa"/>
          </w:tcPr>
          <w:p w14:paraId="7FE5ADFF" w14:textId="77777777" w:rsidR="006577F1" w:rsidRDefault="006577F1" w:rsidP="00022FE3">
            <w:r w:rsidRPr="001156E9">
              <w:t>&lt;</w:t>
            </w:r>
            <w:proofErr w:type="spellStart"/>
            <w:r w:rsidRPr="001156E9">
              <w:t>AdditionalReference</w:t>
            </w:r>
            <w:proofErr w:type="spellEnd"/>
            <w:r w:rsidRPr="001156E9">
              <w:t xml:space="preserve">&gt;    </w:t>
            </w:r>
            <w:r w:rsidRPr="001156E9">
              <w:br/>
              <w:t xml:space="preserve">                &lt;type&gt;Y798&lt;/type&gt;</w:t>
            </w:r>
            <w:r w:rsidRPr="001156E9">
              <w:br/>
              <w:t xml:space="preserve">                &lt;</w:t>
            </w:r>
            <w:proofErr w:type="spellStart"/>
            <w:r w:rsidRPr="001156E9">
              <w:t>referenceNumber</w:t>
            </w:r>
            <w:proofErr w:type="spellEnd"/>
            <w:r w:rsidRPr="001156E9">
              <w:t>&gt;10&lt;/</w:t>
            </w:r>
            <w:proofErr w:type="spellStart"/>
            <w:r w:rsidRPr="001156E9">
              <w:t>referenceNumber</w:t>
            </w:r>
            <w:proofErr w:type="spellEnd"/>
            <w:r w:rsidRPr="001156E9">
              <w:t>&gt;</w:t>
            </w:r>
            <w:r w:rsidRPr="001156E9">
              <w:br/>
              <w:t xml:space="preserve"> &lt;/</w:t>
            </w:r>
            <w:proofErr w:type="spellStart"/>
            <w:r w:rsidRPr="001156E9">
              <w:t>AdditionalReference</w:t>
            </w:r>
            <w:proofErr w:type="spellEnd"/>
            <w:r w:rsidRPr="001156E9">
              <w:t>&gt;</w:t>
            </w:r>
          </w:p>
        </w:tc>
      </w:tr>
      <w:tr w:rsidR="006577F1" w:rsidRPr="000C3053" w14:paraId="53F55F9B" w14:textId="77777777" w:rsidTr="00022FE3">
        <w:trPr>
          <w:trHeight w:val="147"/>
        </w:trPr>
        <w:tc>
          <w:tcPr>
            <w:tcW w:w="1696" w:type="dxa"/>
            <w:vMerge/>
            <w:shd w:val="clear" w:color="auto" w:fill="DAE9F7" w:themeFill="text2" w:themeFillTint="1A"/>
          </w:tcPr>
          <w:p w14:paraId="22F99DF6" w14:textId="77777777" w:rsidR="006577F1" w:rsidRDefault="006577F1" w:rsidP="00022FE3"/>
        </w:tc>
        <w:tc>
          <w:tcPr>
            <w:tcW w:w="709" w:type="dxa"/>
            <w:shd w:val="clear" w:color="auto" w:fill="DAE9F7" w:themeFill="text2" w:themeFillTint="1A"/>
          </w:tcPr>
          <w:p w14:paraId="5D2DB38B" w14:textId="77777777" w:rsidR="006577F1" w:rsidRDefault="006577F1" w:rsidP="00022FE3">
            <w:pPr>
              <w:jc w:val="center"/>
            </w:pPr>
            <w:r>
              <w:t>Y799</w:t>
            </w:r>
          </w:p>
        </w:tc>
        <w:tc>
          <w:tcPr>
            <w:tcW w:w="4536" w:type="dxa"/>
          </w:tcPr>
          <w:p w14:paraId="3D4DB8C8" w14:textId="77777777" w:rsidR="006577F1" w:rsidRDefault="006577F1" w:rsidP="00022FE3">
            <w:r w:rsidRPr="00D8640E">
              <w:t>Net mass of the ODS multiplied by the ODP of the ozone-depleting substance(s), also when included in products and equipment.</w:t>
            </w:r>
          </w:p>
        </w:tc>
        <w:tc>
          <w:tcPr>
            <w:tcW w:w="1418" w:type="dxa"/>
          </w:tcPr>
          <w:p w14:paraId="69B6AFF6" w14:textId="187C1E7D" w:rsidR="006577F1" w:rsidRPr="00B96715" w:rsidRDefault="006577F1" w:rsidP="00022FE3">
            <w:pPr>
              <w:jc w:val="center"/>
            </w:pPr>
            <w:r w:rsidRPr="00E00751">
              <w:t>n..16</w:t>
            </w:r>
            <w:r w:rsidR="0094587E">
              <w:t>.</w:t>
            </w:r>
            <w:r w:rsidRPr="00E00751">
              <w:t>6</w:t>
            </w:r>
          </w:p>
        </w:tc>
        <w:tc>
          <w:tcPr>
            <w:tcW w:w="6385" w:type="dxa"/>
          </w:tcPr>
          <w:p w14:paraId="2089725F" w14:textId="77777777" w:rsidR="006577F1" w:rsidRDefault="006577F1" w:rsidP="00022FE3">
            <w:r w:rsidRPr="00B96715">
              <w:t>&lt;</w:t>
            </w:r>
            <w:proofErr w:type="spellStart"/>
            <w:r w:rsidRPr="00B96715">
              <w:t>AdditionalReference</w:t>
            </w:r>
            <w:proofErr w:type="spellEnd"/>
            <w:r w:rsidRPr="00B96715">
              <w:t xml:space="preserve">&gt;    </w:t>
            </w:r>
            <w:r w:rsidRPr="00B96715">
              <w:br/>
              <w:t xml:space="preserve">                &lt;type&gt;Y799&lt;/type&gt;</w:t>
            </w:r>
            <w:r w:rsidRPr="00B96715">
              <w:br/>
              <w:t xml:space="preserve">                &lt;</w:t>
            </w:r>
            <w:proofErr w:type="spellStart"/>
            <w:r w:rsidRPr="00B96715">
              <w:t>referenceNumber</w:t>
            </w:r>
            <w:proofErr w:type="spellEnd"/>
            <w:r w:rsidRPr="00B96715">
              <w:t>&gt;8800&lt;/</w:t>
            </w:r>
            <w:proofErr w:type="spellStart"/>
            <w:r w:rsidRPr="00B96715">
              <w:t>referenceNumber</w:t>
            </w:r>
            <w:proofErr w:type="spellEnd"/>
            <w:r w:rsidRPr="00B96715">
              <w:t>&gt;</w:t>
            </w:r>
            <w:r w:rsidRPr="00B96715">
              <w:br/>
              <w:t>&lt;/</w:t>
            </w:r>
            <w:proofErr w:type="spellStart"/>
            <w:r w:rsidRPr="00B96715">
              <w:t>AdditionalReference</w:t>
            </w:r>
            <w:proofErr w:type="spellEnd"/>
            <w:r w:rsidRPr="00B96715">
              <w:t>&gt;</w:t>
            </w:r>
          </w:p>
        </w:tc>
      </w:tr>
    </w:tbl>
    <w:p w14:paraId="0CEA159F" w14:textId="77777777" w:rsidR="007D0A2C" w:rsidRPr="00D77B2C" w:rsidRDefault="007D0A2C" w:rsidP="006577F1">
      <w:pPr>
        <w:rPr>
          <w:b/>
          <w:bCs/>
          <w:lang w:val="en-US"/>
        </w:rPr>
      </w:pPr>
    </w:p>
    <w:p w14:paraId="484C0351" w14:textId="76393D1A" w:rsidR="006577F1" w:rsidRDefault="006577F1" w:rsidP="006577F1">
      <w:pPr>
        <w:rPr>
          <w:b/>
          <w:bCs/>
        </w:rPr>
      </w:pPr>
      <w:proofErr w:type="spellStart"/>
      <w:r>
        <w:rPr>
          <w:b/>
          <w:bCs/>
        </w:rPr>
        <w:t>Note</w:t>
      </w:r>
      <w:r w:rsidR="007D0A2C">
        <w:rPr>
          <w:b/>
          <w:bCs/>
        </w:rPr>
        <w:t>s</w:t>
      </w:r>
      <w:proofErr w:type="spellEnd"/>
      <w:r>
        <w:rPr>
          <w:b/>
          <w:bCs/>
        </w:rPr>
        <w:t xml:space="preserve">: </w:t>
      </w:r>
    </w:p>
    <w:p w14:paraId="69B4919F" w14:textId="67F827D3" w:rsidR="00250C64" w:rsidRPr="00D26C0F" w:rsidRDefault="00250C64" w:rsidP="00250C64">
      <w:pPr>
        <w:pStyle w:val="Lijstalinea"/>
        <w:numPr>
          <w:ilvl w:val="0"/>
          <w:numId w:val="1"/>
        </w:numPr>
        <w:rPr>
          <w:b/>
          <w:bCs/>
          <w:color w:val="4C94D8" w:themeColor="text2" w:themeTint="80"/>
          <w:lang w:val="en-US"/>
        </w:rPr>
      </w:pPr>
      <w:r w:rsidRPr="00D26C0F">
        <w:rPr>
          <w:b/>
          <w:bCs/>
          <w:color w:val="4C94D8" w:themeColor="text2" w:themeTint="80"/>
          <w:lang w:val="en-US"/>
        </w:rPr>
        <w:t>IMPORTANT: do not put any other information in</w:t>
      </w:r>
      <w:r>
        <w:rPr>
          <w:b/>
          <w:bCs/>
          <w:color w:val="4C94D8" w:themeColor="text2" w:themeTint="80"/>
          <w:lang w:val="en-US"/>
        </w:rPr>
        <w:t xml:space="preserve"> reference</w:t>
      </w:r>
      <w:r w:rsidRPr="00D26C0F">
        <w:rPr>
          <w:b/>
          <w:bCs/>
          <w:color w:val="4C94D8" w:themeColor="text2" w:themeTint="80"/>
          <w:lang w:val="en-US"/>
        </w:rPr>
        <w:t xml:space="preserve"> field</w:t>
      </w:r>
      <w:r>
        <w:rPr>
          <w:b/>
          <w:bCs/>
          <w:color w:val="4C94D8" w:themeColor="text2" w:themeTint="80"/>
          <w:lang w:val="en-US"/>
        </w:rPr>
        <w:t>s</w:t>
      </w:r>
      <w:r w:rsidRPr="00D26C0F">
        <w:rPr>
          <w:b/>
          <w:bCs/>
          <w:color w:val="4C94D8" w:themeColor="text2" w:themeTint="80"/>
          <w:lang w:val="en-US"/>
        </w:rPr>
        <w:t xml:space="preserve">, or </w:t>
      </w:r>
      <w:proofErr w:type="spellStart"/>
      <w:r w:rsidRPr="00D26C0F">
        <w:rPr>
          <w:b/>
          <w:bCs/>
          <w:color w:val="4C94D8" w:themeColor="text2" w:themeTint="80"/>
          <w:lang w:val="en-US"/>
        </w:rPr>
        <w:t>Certex</w:t>
      </w:r>
      <w:proofErr w:type="spellEnd"/>
      <w:r w:rsidRPr="00D26C0F">
        <w:rPr>
          <w:b/>
          <w:bCs/>
          <w:color w:val="4C94D8" w:themeColor="text2" w:themeTint="80"/>
          <w:lang w:val="en-US"/>
        </w:rPr>
        <w:t xml:space="preserve"> will reject the declaration.</w:t>
      </w:r>
      <w:r w:rsidR="00D363E0">
        <w:rPr>
          <w:b/>
          <w:bCs/>
          <w:color w:val="4C94D8" w:themeColor="text2" w:themeTint="80"/>
          <w:lang w:val="en-US"/>
        </w:rPr>
        <w:t xml:space="preserve"> No EORI’s, no unit qualifier</w:t>
      </w:r>
      <w:r w:rsidR="00331C7A">
        <w:rPr>
          <w:b/>
          <w:bCs/>
          <w:color w:val="4C94D8" w:themeColor="text2" w:themeTint="80"/>
          <w:lang w:val="en-US"/>
        </w:rPr>
        <w:t>, nothing.</w:t>
      </w:r>
    </w:p>
    <w:p w14:paraId="770B6A16" w14:textId="77777777" w:rsidR="00250C64" w:rsidRPr="00250C64" w:rsidRDefault="006577F1" w:rsidP="006577F1">
      <w:pPr>
        <w:pStyle w:val="Lijstalinea"/>
        <w:numPr>
          <w:ilvl w:val="0"/>
          <w:numId w:val="1"/>
        </w:numPr>
        <w:rPr>
          <w:b/>
          <w:bCs/>
          <w:color w:val="4C94D8" w:themeColor="text2" w:themeTint="80"/>
          <w:lang w:val="en-US"/>
        </w:rPr>
      </w:pPr>
      <w:r w:rsidRPr="006577F1">
        <w:rPr>
          <w:lang w:val="en-US"/>
        </w:rPr>
        <w:t>The ODS License number is EXP-</w:t>
      </w:r>
      <w:proofErr w:type="spellStart"/>
      <w:r w:rsidRPr="006577F1">
        <w:rPr>
          <w:lang w:val="en-US"/>
        </w:rPr>
        <w:t>xxxxxxxx</w:t>
      </w:r>
      <w:proofErr w:type="spellEnd"/>
      <w:r w:rsidRPr="006577F1">
        <w:rPr>
          <w:lang w:val="en-US"/>
        </w:rPr>
        <w:t>-</w:t>
      </w:r>
      <w:proofErr w:type="spellStart"/>
      <w:r w:rsidRPr="006577F1">
        <w:rPr>
          <w:lang w:val="en-US"/>
        </w:rPr>
        <w:t>xxxxxxxx-xxxxxxxx</w:t>
      </w:r>
      <w:proofErr w:type="spellEnd"/>
      <w:r w:rsidRPr="006577F1">
        <w:rPr>
          <w:lang w:val="en-US"/>
        </w:rPr>
        <w:t xml:space="preserve"> where the first three characters refer to the license type(EXP=Export), the second group of characters can have a length from 4 to 8 characters, the third four characters refer to the type of the Export license, afterwards the year of the issuing of license is indicated as well as a generic system number’. </w:t>
      </w:r>
    </w:p>
    <w:p w14:paraId="41B5D9E3" w14:textId="5DA418D8" w:rsidR="00550623" w:rsidRPr="00F44A25" w:rsidRDefault="006577F1" w:rsidP="00B75C4E">
      <w:pPr>
        <w:pStyle w:val="Lijstalinea"/>
        <w:numPr>
          <w:ilvl w:val="0"/>
          <w:numId w:val="1"/>
        </w:numPr>
        <w:rPr>
          <w:lang w:val="en-US"/>
        </w:rPr>
      </w:pPr>
      <w:r w:rsidRPr="006577F1">
        <w:rPr>
          <w:lang w:val="en-US"/>
        </w:rPr>
        <w:t>n..16</w:t>
      </w:r>
      <w:r w:rsidR="0094587E">
        <w:rPr>
          <w:lang w:val="en-US"/>
        </w:rPr>
        <w:t>.</w:t>
      </w:r>
      <w:r w:rsidRPr="006577F1">
        <w:rPr>
          <w:lang w:val="en-US"/>
        </w:rPr>
        <w:t xml:space="preserve">6 = 16 digits before the decimal point </w:t>
      </w:r>
      <w:r w:rsidRPr="00D26C0F">
        <w:rPr>
          <w:b/>
          <w:bCs/>
          <w:color w:val="4C94D8" w:themeColor="text2" w:themeTint="80"/>
          <w:lang w:val="en-US"/>
        </w:rPr>
        <w:t>(</w:t>
      </w:r>
      <w:r w:rsidR="00470780">
        <w:rPr>
          <w:b/>
          <w:bCs/>
          <w:color w:val="4C94D8" w:themeColor="text2" w:themeTint="80"/>
          <w:lang w:val="en-US"/>
        </w:rPr>
        <w:t xml:space="preserve">use a point, </w:t>
      </w:r>
      <w:r w:rsidRPr="00D26C0F">
        <w:rPr>
          <w:b/>
          <w:bCs/>
          <w:color w:val="4C94D8" w:themeColor="text2" w:themeTint="80"/>
          <w:lang w:val="en-US"/>
        </w:rPr>
        <w:t>no comma!)</w:t>
      </w:r>
      <w:r w:rsidRPr="00D26C0F">
        <w:rPr>
          <w:color w:val="4C94D8" w:themeColor="text2" w:themeTint="80"/>
          <w:lang w:val="en-US"/>
        </w:rPr>
        <w:t xml:space="preserve"> </w:t>
      </w:r>
      <w:r w:rsidRPr="006577F1">
        <w:rPr>
          <w:lang w:val="en-US"/>
        </w:rPr>
        <w:t xml:space="preserve">and up to 6 digits after. </w:t>
      </w:r>
      <w:r w:rsidRPr="00250C64">
        <w:rPr>
          <w:lang w:val="en-US"/>
        </w:rPr>
        <w:t xml:space="preserve">Also, </w:t>
      </w:r>
      <w:r w:rsidRPr="00250C64">
        <w:rPr>
          <w:b/>
          <w:bCs/>
          <w:color w:val="4C94D8" w:themeColor="text2" w:themeTint="80"/>
          <w:lang w:val="en-US"/>
        </w:rPr>
        <w:t>no units like KG, TON, etc.</w:t>
      </w:r>
      <w:r w:rsidR="00470780">
        <w:rPr>
          <w:b/>
          <w:bCs/>
          <w:color w:val="4C94D8" w:themeColor="text2" w:themeTint="80"/>
          <w:lang w:val="en-US"/>
        </w:rPr>
        <w:t xml:space="preserve"> </w:t>
      </w:r>
      <w:r w:rsidR="00470780" w:rsidRPr="00F44A25">
        <w:rPr>
          <w:lang w:val="en-US"/>
        </w:rPr>
        <w:t>These are implied in the name of the supporting document or additional reference</w:t>
      </w:r>
    </w:p>
    <w:sectPr w:rsidR="00550623" w:rsidRPr="00F44A25" w:rsidSect="001403E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BB6CE" w14:textId="77777777" w:rsidR="00E31125" w:rsidRDefault="00E31125" w:rsidP="00DB6EC4">
      <w:pPr>
        <w:spacing w:after="0" w:line="240" w:lineRule="auto"/>
      </w:pPr>
      <w:r>
        <w:separator/>
      </w:r>
    </w:p>
  </w:endnote>
  <w:endnote w:type="continuationSeparator" w:id="0">
    <w:p w14:paraId="57D6E020" w14:textId="77777777" w:rsidR="00E31125" w:rsidRDefault="00E31125" w:rsidP="00DB6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60331" w14:textId="77777777" w:rsidR="00DB6EC4" w:rsidRDefault="00DB6EC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FE11C" w14:textId="77777777" w:rsidR="00DB6EC4" w:rsidRDefault="00DB6EC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1D75A" w14:textId="77777777" w:rsidR="00DB6EC4" w:rsidRDefault="00DB6EC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CC0A0" w14:textId="77777777" w:rsidR="00E31125" w:rsidRDefault="00E31125" w:rsidP="00DB6EC4">
      <w:pPr>
        <w:spacing w:after="0" w:line="240" w:lineRule="auto"/>
      </w:pPr>
      <w:r>
        <w:separator/>
      </w:r>
    </w:p>
  </w:footnote>
  <w:footnote w:type="continuationSeparator" w:id="0">
    <w:p w14:paraId="6877EEC4" w14:textId="77777777" w:rsidR="00E31125" w:rsidRDefault="00E31125" w:rsidP="00DB6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DE2FB" w14:textId="77777777" w:rsidR="00DB6EC4" w:rsidRDefault="00DB6EC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9B7BB" w14:textId="77777777" w:rsidR="00DB6EC4" w:rsidRDefault="00DB6EC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A257F" w14:textId="77777777" w:rsidR="00DB6EC4" w:rsidRDefault="00DB6EC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11CF3"/>
    <w:multiLevelType w:val="hybridMultilevel"/>
    <w:tmpl w:val="8CECC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069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C4E"/>
    <w:rsid w:val="00010E3D"/>
    <w:rsid w:val="000C3053"/>
    <w:rsid w:val="001126E6"/>
    <w:rsid w:val="001403E8"/>
    <w:rsid w:val="00175957"/>
    <w:rsid w:val="00177C5A"/>
    <w:rsid w:val="001817D5"/>
    <w:rsid w:val="001A11EE"/>
    <w:rsid w:val="001F61B9"/>
    <w:rsid w:val="00250C64"/>
    <w:rsid w:val="002E2AF2"/>
    <w:rsid w:val="00320D5E"/>
    <w:rsid w:val="00331C7A"/>
    <w:rsid w:val="003C5DE3"/>
    <w:rsid w:val="00434A95"/>
    <w:rsid w:val="00470780"/>
    <w:rsid w:val="004C4101"/>
    <w:rsid w:val="004D4348"/>
    <w:rsid w:val="004E4C3D"/>
    <w:rsid w:val="0053103F"/>
    <w:rsid w:val="005346A0"/>
    <w:rsid w:val="00550623"/>
    <w:rsid w:val="005774C5"/>
    <w:rsid w:val="0058407E"/>
    <w:rsid w:val="005F2975"/>
    <w:rsid w:val="006577F1"/>
    <w:rsid w:val="00701284"/>
    <w:rsid w:val="00752DDB"/>
    <w:rsid w:val="007D0A2C"/>
    <w:rsid w:val="00820B49"/>
    <w:rsid w:val="00841F85"/>
    <w:rsid w:val="00885C00"/>
    <w:rsid w:val="009309B4"/>
    <w:rsid w:val="009416C7"/>
    <w:rsid w:val="0094587E"/>
    <w:rsid w:val="00990D54"/>
    <w:rsid w:val="009B3D42"/>
    <w:rsid w:val="009B5F91"/>
    <w:rsid w:val="00A21EF5"/>
    <w:rsid w:val="00A33062"/>
    <w:rsid w:val="00A60182"/>
    <w:rsid w:val="00B26CF1"/>
    <w:rsid w:val="00B30CF7"/>
    <w:rsid w:val="00B40260"/>
    <w:rsid w:val="00B75C4E"/>
    <w:rsid w:val="00BB320E"/>
    <w:rsid w:val="00BB7286"/>
    <w:rsid w:val="00C25F72"/>
    <w:rsid w:val="00C558FD"/>
    <w:rsid w:val="00C9410B"/>
    <w:rsid w:val="00CB599C"/>
    <w:rsid w:val="00D16913"/>
    <w:rsid w:val="00D169B7"/>
    <w:rsid w:val="00D202B4"/>
    <w:rsid w:val="00D26C0F"/>
    <w:rsid w:val="00D363E0"/>
    <w:rsid w:val="00D75AE3"/>
    <w:rsid w:val="00D77B2C"/>
    <w:rsid w:val="00DB6EC4"/>
    <w:rsid w:val="00DD00A0"/>
    <w:rsid w:val="00DF08D3"/>
    <w:rsid w:val="00E04442"/>
    <w:rsid w:val="00E31125"/>
    <w:rsid w:val="00E51EEB"/>
    <w:rsid w:val="00F02BF3"/>
    <w:rsid w:val="00F44A25"/>
    <w:rsid w:val="00F47B21"/>
    <w:rsid w:val="00F62CE3"/>
    <w:rsid w:val="00F92B72"/>
    <w:rsid w:val="00FC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E656A"/>
  <w15:chartTrackingRefBased/>
  <w15:docId w15:val="{2CC0AEAD-6024-4736-853D-7B086875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75C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75C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75C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75C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75C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75C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75C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75C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75C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75C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75C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75C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75C4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75C4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75C4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75C4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75C4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75C4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75C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75C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75C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75C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75C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75C4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75C4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75C4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75C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75C4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75C4E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6577F1"/>
    <w:pPr>
      <w:spacing w:after="0" w:line="240" w:lineRule="auto"/>
    </w:pPr>
    <w:rPr>
      <w:kern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B6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B6EC4"/>
  </w:style>
  <w:style w:type="paragraph" w:styleId="Voettekst">
    <w:name w:val="footer"/>
    <w:basedOn w:val="Standaard"/>
    <w:link w:val="VoettekstChar"/>
    <w:uiPriority w:val="99"/>
    <w:unhideWhenUsed/>
    <w:rsid w:val="00DB6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B6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4c6442-ec61-438b-a3a7-7cc4421cbf0f}" enabled="1" method="Standard" siteId="{4cfa3947-0301-459b-ac3c-e75051e3476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702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Wouter De Vlieger</dc:creator>
  <cp:keywords/>
  <dc:description/>
  <cp:lastModifiedBy>Wouter De Vlieger</cp:lastModifiedBy>
  <cp:revision>59</cp:revision>
  <dcterms:created xsi:type="dcterms:W3CDTF">2025-06-16T09:38:00Z</dcterms:created>
  <dcterms:modified xsi:type="dcterms:W3CDTF">2025-09-05T12:24:00Z</dcterms:modified>
</cp:coreProperties>
</file>